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AE1F5B" w:rsidRPr="00D543FC" w14:paraId="6050A8A3" w14:textId="77777777" w:rsidTr="002F44B6">
        <w:trPr>
          <w:trHeight w:val="250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1B1065" w14:textId="6829BCDA" w:rsidR="00AE1F5B" w:rsidRPr="00D543FC" w:rsidRDefault="00AE1F5B" w:rsidP="00E56024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t>Prejudiciële hofzaak</w:t>
            </w:r>
            <w:r w:rsidR="00AB1396" w:rsidRPr="00D543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17925" w:rsidRPr="00D543FC">
              <w:rPr>
                <w:rFonts w:ascii="Verdana" w:hAnsi="Verdana"/>
                <w:b/>
                <w:sz w:val="18"/>
                <w:szCs w:val="18"/>
              </w:rPr>
              <w:t xml:space="preserve">C-186/22 Sad Trasporto </w:t>
            </w:r>
            <w:proofErr w:type="spellStart"/>
            <w:r w:rsidR="00717925" w:rsidRPr="00D543FC">
              <w:rPr>
                <w:rFonts w:ascii="Verdana" w:hAnsi="Verdana"/>
                <w:b/>
                <w:sz w:val="18"/>
                <w:szCs w:val="18"/>
              </w:rPr>
              <w:t>Locale</w:t>
            </w:r>
            <w:proofErr w:type="spellEnd"/>
            <w:r w:rsidR="00E56024" w:rsidRPr="00D543FC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  <w:r w:rsidR="00AB1396" w:rsidRPr="00D543FC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="00BC09AE" w:rsidRPr="00D543FC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(Italië</w:t>
            </w:r>
            <w:r w:rsidR="00E56024" w:rsidRPr="00D543FC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AE1F5B" w:rsidRPr="00D543FC" w14:paraId="1FD96922" w14:textId="77777777" w:rsidTr="002F44B6">
        <w:trPr>
          <w:trHeight w:val="5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626D07" w14:textId="4170CA65" w:rsidR="00AE1F5B" w:rsidRPr="00D543FC" w:rsidRDefault="00AE1F5B" w:rsidP="002F44B6">
            <w:pPr>
              <w:pStyle w:val="NoSpacing"/>
              <w:rPr>
                <w:rFonts w:ascii="Verdana" w:hAnsi="Verdana"/>
                <w:sz w:val="18"/>
                <w:szCs w:val="16"/>
              </w:rPr>
            </w:pPr>
            <w:r w:rsidRPr="00D543FC">
              <w:rPr>
                <w:rFonts w:ascii="Verdana" w:hAnsi="Verdana"/>
                <w:b/>
                <w:sz w:val="18"/>
                <w:szCs w:val="16"/>
              </w:rPr>
              <w:t>Termijnen</w:t>
            </w:r>
            <w:r w:rsidRPr="00D543FC">
              <w:rPr>
                <w:rFonts w:ascii="Verdana" w:hAnsi="Verdana"/>
                <w:sz w:val="18"/>
                <w:szCs w:val="16"/>
              </w:rPr>
              <w:t xml:space="preserve">: Motivering departement:    </w:t>
            </w:r>
            <w:r w:rsidR="00717925" w:rsidRPr="00D543FC">
              <w:rPr>
                <w:rFonts w:ascii="Verdana" w:hAnsi="Verdana"/>
                <w:sz w:val="18"/>
                <w:szCs w:val="16"/>
              </w:rPr>
              <w:t>23</w:t>
            </w:r>
            <w:r w:rsidR="00BC09AE" w:rsidRPr="00D543FC">
              <w:rPr>
                <w:rFonts w:ascii="Verdana" w:hAnsi="Verdana"/>
                <w:sz w:val="18"/>
                <w:szCs w:val="16"/>
              </w:rPr>
              <w:t xml:space="preserve"> m</w:t>
            </w:r>
            <w:r w:rsidR="00717925" w:rsidRPr="00D543FC">
              <w:rPr>
                <w:rFonts w:ascii="Verdana" w:hAnsi="Verdana"/>
                <w:sz w:val="18"/>
                <w:szCs w:val="16"/>
              </w:rPr>
              <w:t>ei</w:t>
            </w:r>
            <w:r w:rsidR="00E56024" w:rsidRPr="00D543FC">
              <w:rPr>
                <w:rFonts w:ascii="Verdana" w:hAnsi="Verdana"/>
                <w:sz w:val="18"/>
                <w:szCs w:val="16"/>
              </w:rPr>
              <w:t xml:space="preserve"> 2022</w:t>
            </w:r>
          </w:p>
          <w:p w14:paraId="07FD6A08" w14:textId="09BB2E1B" w:rsidR="00AE1F5B" w:rsidRPr="00D543FC" w:rsidRDefault="00AE1F5B" w:rsidP="002F44B6">
            <w:pPr>
              <w:pStyle w:val="NoSpacing"/>
              <w:rPr>
                <w:rFonts w:ascii="Verdana" w:hAnsi="Verdana"/>
                <w:sz w:val="18"/>
                <w:szCs w:val="16"/>
              </w:rPr>
            </w:pPr>
            <w:r w:rsidRPr="00D543FC">
              <w:rPr>
                <w:rFonts w:ascii="Verdana" w:hAnsi="Verdana"/>
                <w:sz w:val="18"/>
                <w:szCs w:val="16"/>
              </w:rPr>
              <w:t xml:space="preserve">Schriftelijke opmerkingen:                    </w:t>
            </w:r>
            <w:r w:rsidR="00717925" w:rsidRPr="00D543FC">
              <w:rPr>
                <w:rFonts w:ascii="Verdana" w:hAnsi="Verdana"/>
                <w:sz w:val="18"/>
                <w:szCs w:val="16"/>
              </w:rPr>
              <w:t>9</w:t>
            </w:r>
            <w:r w:rsidR="00E56024" w:rsidRPr="00D543FC">
              <w:rPr>
                <w:rFonts w:ascii="Verdana" w:hAnsi="Verdana"/>
                <w:sz w:val="18"/>
                <w:szCs w:val="16"/>
              </w:rPr>
              <w:t xml:space="preserve"> </w:t>
            </w:r>
            <w:r w:rsidR="00717925" w:rsidRPr="00D543FC">
              <w:rPr>
                <w:rFonts w:ascii="Verdana" w:hAnsi="Verdana"/>
                <w:sz w:val="18"/>
                <w:szCs w:val="16"/>
              </w:rPr>
              <w:t>juli</w:t>
            </w:r>
            <w:r w:rsidR="00E56024" w:rsidRPr="00D543FC">
              <w:rPr>
                <w:rFonts w:ascii="Verdana" w:hAnsi="Verdana"/>
                <w:sz w:val="18"/>
                <w:szCs w:val="16"/>
              </w:rPr>
              <w:t xml:space="preserve"> 2022</w:t>
            </w:r>
          </w:p>
        </w:tc>
      </w:tr>
      <w:tr w:rsidR="00AE1F5B" w:rsidRPr="00D543FC" w14:paraId="7375FEB9" w14:textId="77777777" w:rsidTr="002F44B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A307FA" w14:textId="3ACC19B1" w:rsidR="00AE1F5B" w:rsidRPr="00D543FC" w:rsidRDefault="00AE1F5B" w:rsidP="00BC09AE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6"/>
                <w:lang w:eastAsia="zh-TW"/>
              </w:rPr>
            </w:pPr>
            <w:r w:rsidRPr="00D543FC">
              <w:rPr>
                <w:rFonts w:ascii="Verdana" w:hAnsi="Verdana"/>
                <w:b/>
                <w:sz w:val="18"/>
                <w:szCs w:val="16"/>
              </w:rPr>
              <w:t>Trefwoorden</w:t>
            </w:r>
            <w:r w:rsidRPr="00D543FC">
              <w:rPr>
                <w:rFonts w:ascii="Verdana" w:hAnsi="Verdana"/>
                <w:sz w:val="18"/>
                <w:szCs w:val="16"/>
              </w:rPr>
              <w:t xml:space="preserve">: </w:t>
            </w:r>
            <w:r w:rsidR="00E95AF3">
              <w:rPr>
                <w:rFonts w:ascii="Verdana" w:hAnsi="Verdana"/>
                <w:sz w:val="18"/>
                <w:szCs w:val="16"/>
              </w:rPr>
              <w:t>personenvervoerdiensten, kabelbaaninstallaties, dienstenconcessies, staatssteun</w:t>
            </w:r>
          </w:p>
        </w:tc>
      </w:tr>
      <w:tr w:rsidR="00AE1F5B" w:rsidRPr="00E95AF3" w14:paraId="4653B899" w14:textId="77777777" w:rsidTr="002F44B6"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9F79F" w14:textId="77777777" w:rsidR="00AE1F5B" w:rsidRPr="00D543FC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t>Onderwerp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4A8D4AED" w14:textId="77777777" w:rsidR="00717925" w:rsidRPr="00D543FC" w:rsidRDefault="00717925" w:rsidP="00B47A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543FC">
              <w:rPr>
                <w:rFonts w:ascii="Verdana" w:hAnsi="Verdana"/>
                <w:bCs/>
                <w:sz w:val="18"/>
                <w:szCs w:val="18"/>
              </w:rPr>
              <w:t>Verordening (EG) nr. 1370/2007 van het Europees Parlement en de Raad van 23 oktober 2007 betreffende het openbaar personenvervoer per spoor en over de weg en tot intrekking van Verordening (EEG) nr. 1191/69 van de Raad en Verordening (EEG) nr. 1107/70 van de Raad</w:t>
            </w:r>
          </w:p>
          <w:p w14:paraId="1406B743" w14:textId="77777777" w:rsidR="00717925" w:rsidRPr="00D543FC" w:rsidRDefault="00717925" w:rsidP="00B47A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543FC">
              <w:rPr>
                <w:rFonts w:ascii="Verdana" w:hAnsi="Verdana"/>
                <w:bCs/>
                <w:sz w:val="18"/>
                <w:szCs w:val="18"/>
              </w:rPr>
              <w:t>Richtlijn 2014/23/EU van het Europees Parlement en de Raad van 26 februari 2014 betreffende het plaatsen van concessieovereenkomsten</w:t>
            </w:r>
          </w:p>
          <w:p w14:paraId="37C8BBF9" w14:textId="77777777" w:rsidR="00717925" w:rsidRPr="00D543FC" w:rsidRDefault="00717925" w:rsidP="00B47A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543FC">
              <w:rPr>
                <w:rFonts w:ascii="Verdana" w:hAnsi="Verdana"/>
                <w:bCs/>
                <w:sz w:val="18"/>
                <w:szCs w:val="18"/>
              </w:rPr>
              <w:t>Richtlijn 2014/24/EU van het Europees Parlement en de Raad van 26 februari 2014 betreffende het plaatsen van overheidsopdrachten en tot intrekking van Richtlijn 2004/18/EG Voor de EER relevante tekst</w:t>
            </w:r>
          </w:p>
          <w:p w14:paraId="04FD64F0" w14:textId="45325A8D" w:rsidR="00717925" w:rsidRPr="00D543FC" w:rsidRDefault="00717925" w:rsidP="00B47A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543FC">
              <w:rPr>
                <w:rFonts w:ascii="Verdana" w:hAnsi="Verdana"/>
                <w:bCs/>
                <w:sz w:val="18"/>
                <w:szCs w:val="18"/>
              </w:rPr>
              <w:t>Richtlijn 2014/25/EU van het Europees Parlement en de Raad van 26 februari 2014 betreffende het plaatsen van opdrachten in de sectoren water- en energievoorziening, vervoer en postdiensten en houdende intrekking van Richtlijn 2004/17/EG</w:t>
            </w:r>
          </w:p>
          <w:p w14:paraId="06644B9E" w14:textId="77777777" w:rsidR="00717925" w:rsidRPr="00D543FC" w:rsidRDefault="00717925" w:rsidP="00B47AB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02A1575" w14:textId="77777777" w:rsidR="00AE1F5B" w:rsidRPr="00D543FC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t>Feiten:</w:t>
            </w:r>
          </w:p>
          <w:p w14:paraId="330FBECA" w14:textId="0E4B2DC9" w:rsidR="00AE1F5B" w:rsidRDefault="00D543FC" w:rsidP="00D543F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sz w:val="18"/>
                <w:szCs w:val="18"/>
              </w:rPr>
              <w:t>De onderhavige procedure betreft de gunning van bepaalde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personenvervoersdiensten door de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Provincia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 xml:space="preserve"> autonoma di Bolzano (provincie Bolzano). Deze vervoersdiensten omvatten kabelspoorwegen 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tramwegen waarmee vervoer per spoor wordt verricht, alsmede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kabelbaaninstallaties waarmee vervoer per kabel wordt verricht; het grootste deel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van de vervoersdiensten wordt verricht per spoor. Bij besluiten van 1991 en 2001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heeft de provincie Bolzano de concessies voor de betrokken vervoersdiensten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gegund aan SAD Trasporto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Locale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s.p.a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>. (SAD).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In 2020 heeft de provincie Bolzano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besloten tot een technische verlenging van de concessie voor deze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vervoersdiensten tot maart 2021, omdat zij bezig was de betrokken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vervoersdiensten aan een vennootschap in house te gunnen.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Bij besluit nr. 243 van 16</w:t>
            </w:r>
            <w:r>
              <w:rPr>
                <w:rFonts w:ascii="Verdana" w:hAnsi="Verdana"/>
                <w:sz w:val="18"/>
                <w:szCs w:val="18"/>
              </w:rPr>
              <w:t>-03-</w:t>
            </w:r>
            <w:r w:rsidRPr="00D543FC">
              <w:rPr>
                <w:rFonts w:ascii="Verdana" w:hAnsi="Verdana"/>
                <w:sz w:val="18"/>
                <w:szCs w:val="18"/>
              </w:rPr>
              <w:t>2021 heeft de provincie Bolzano met name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besloten de bovengenoemde vervoersdiensten in house te gunnen aan STA 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Strutture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 xml:space="preserve"> Trasporti Alto Adige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s.p.a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>. (STA), en heeft zij het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dienstverleningscontract en het bedrijfsplan betreffende de relatie met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begunstigde goedgekeurd.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Verzoekster betwist in wezen de gunning „in house” aan STA, aangezien volgens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haar niet aan de voorwaarden daarvoor is voldaan. Zij meent dat verordening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1370/2007 niet op de onderhavige zaak van toepassing is omdat, ten eerste,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betrokken vervoersdiensten een dienst van vervoer per kabel omvatten die niet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binnen het toepassingsgebied van die verordening valt. Ten tweede zijn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betrokken vervoersdiensten gegund op grond van een dienstcontract dat niet onder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het begrip „concessie voor diensten” valt. Daarnaast is er volgens verzoekster 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onderhavige zaak sprake van staatssteun, aangezien de provincie Bolzano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gunning van de vervoersdiensten niet heeft gerechtvaardigd op grond van het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criterium van de gemiddelde, goed beheerde onderneming.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provincie Bolzano en STA wijzen erop dat gunning „in house” niet alleen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betrekking kan hebben op concessies voor diensten, maar ook op opdrachten voor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diensten, zodat het in het onderhavige geval niet relevant is of de betrokken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vervoersdiensten als een opdracht dan wel als een concessie worden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gekwalificeerd.</w:t>
            </w:r>
          </w:p>
          <w:p w14:paraId="48EB2F6E" w14:textId="77777777" w:rsidR="00D543FC" w:rsidRPr="00D543FC" w:rsidRDefault="00D543FC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E1718EE" w14:textId="77777777" w:rsidR="00AE1F5B" w:rsidRPr="00D543FC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t>Overweging:</w:t>
            </w:r>
          </w:p>
          <w:p w14:paraId="488170B6" w14:textId="7ED6BE9C" w:rsidR="006A596C" w:rsidRPr="00820432" w:rsidRDefault="00820432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820432">
              <w:rPr>
                <w:rFonts w:ascii="Verdana" w:hAnsi="Verdana"/>
                <w:sz w:val="18"/>
                <w:szCs w:val="18"/>
              </w:rPr>
              <w:t>De verwijzende rechter vraagt zich af of verordening 1370/2007 van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toepassing is op een overeenkomst van gemengde aard die diensten voor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personenvervoer per spoor en diensten voor personenvervoer per kabel omvat.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Enerzijds lijken de bewoordingen van artikel 1, lid 2, van </w:t>
            </w:r>
            <w:r w:rsidR="00FF497A">
              <w:rPr>
                <w:rFonts w:ascii="Verdana" w:hAnsi="Verdana"/>
                <w:sz w:val="18"/>
                <w:szCs w:val="18"/>
              </w:rPr>
              <w:t>de verordening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 het toepassingsgebied van die verordening namelijk te beperken tot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een aantal soorten vervoersdiensten, te weten vervoer over de weg of per spoor,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zodat vervoer per kabel niet binnen het toepassingsgebied van deze verordening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zou vallen.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Indien het antwoord op de eerste vraag aan het Hof luidt dat vervoersdiensten die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naar hun aard een geheel vormen en die per spoor en per kabel worden verricht,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binnen het toepassingsgebied van </w:t>
            </w:r>
            <w:r>
              <w:rPr>
                <w:rFonts w:ascii="Verdana" w:hAnsi="Verdana"/>
                <w:sz w:val="18"/>
                <w:szCs w:val="18"/>
              </w:rPr>
              <w:t>de verordening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 vallen, vraagt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verwijzende rechter zich af of artikel 5, lid 2, van deze verordening van toepassing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is op de gunning in house van een contract voor gemengd openbaar vervoer, naargelang de vorm die dit contract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aanneemt.</w:t>
            </w:r>
            <w:r>
              <w:rPr>
                <w:rFonts w:ascii="Verdana" w:hAnsi="Verdana"/>
                <w:sz w:val="18"/>
                <w:szCs w:val="18"/>
              </w:rPr>
              <w:t xml:space="preserve">  Verder </w:t>
            </w:r>
            <w:r w:rsidRPr="00820432">
              <w:rPr>
                <w:rFonts w:ascii="Verdana" w:hAnsi="Verdana"/>
                <w:sz w:val="18"/>
                <w:szCs w:val="18"/>
              </w:rPr>
              <w:t>vraagt de verwijzende rechter zich af of daadwerkelijk een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onderscheid kan worden gemaakt tussen contracten voor overheidsopdrachten 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concessieovereenkomsten wanneer de overheidsdienst de dienst voor openbaar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personenvervoer gunt aan een interne exploitant als bedoeld in artikel 2, onder 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van verordenin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 1370/2007 en de activiteiten van de begunstigde onderworpen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zijn aan de beperkingen van artikel 5, lid 2, van deze verordening, aangezien 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deze twee bepalingen vereisten zijn gesteld die vergelijkbaar zijn met die 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artikel 28 van richtlijn 2014/25 en artikel 12 van richtlijn 2014/24 op het gebied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van gunning in house.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Indien het antwoord op de tweede vraag aan het Hof luidt dat het onderscheid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tussen opdrachten en concessies ook relevant is met betrekking tot gunning 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house, vraagt de verwijzende rechter zich af of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de betrokken gunning moet worden gekwalificeerd als een opdracht dan wel als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een concessie voor diensten.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 xml:space="preserve">De verwijzende rechter vraagt zich </w:t>
            </w:r>
            <w:r>
              <w:rPr>
                <w:rFonts w:ascii="Verdana" w:hAnsi="Verdana"/>
                <w:sz w:val="18"/>
                <w:szCs w:val="18"/>
              </w:rPr>
              <w:t xml:space="preserve">daarnaast ook </w:t>
            </w:r>
            <w:r w:rsidRPr="00820432">
              <w:rPr>
                <w:rFonts w:ascii="Verdana" w:hAnsi="Verdana"/>
                <w:sz w:val="18"/>
                <w:szCs w:val="18"/>
              </w:rPr>
              <w:t>af of in de onderhavige zaak de door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provincie Bolzano aan STA gegunde dienstenovereenkomst een concessie voor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diensten vormt, aangezien de vergoeding van de begunstigde volledig voor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rekening van de aanbestedende dienst komt, in verhouding staat tot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hoeveelheid verrichte diensten, en daarop dus geen vraagrisico lijkt te rusten. Tot slot vraagt de verwijzende rechter zich af of de betrokken gunning in house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staatssteun vormt waarvan overeenkomstig artikel 108, lid 3, VWEU vooraf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kennis moet worden gegeven. In dit verband specificeert hij dat volgens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artikel 107, lid 1, VWEU een interventie staatssteun vormt wanneer zij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20432">
              <w:rPr>
                <w:rFonts w:ascii="Verdana" w:hAnsi="Verdana"/>
                <w:sz w:val="18"/>
                <w:szCs w:val="18"/>
              </w:rPr>
              <w:t>begunstigde ervan onder meer een selectief voordeel verschaft.</w:t>
            </w:r>
          </w:p>
          <w:p w14:paraId="4172C073" w14:textId="31B443CA" w:rsidR="00AE1F5B" w:rsidRPr="00D543FC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lastRenderedPageBreak/>
              <w:t>Prejudiciële vra</w:t>
            </w:r>
            <w:r w:rsidR="007204D1" w:rsidRPr="00D543FC">
              <w:rPr>
                <w:rFonts w:ascii="Verdana" w:hAnsi="Verdana"/>
                <w:b/>
                <w:sz w:val="18"/>
                <w:szCs w:val="18"/>
              </w:rPr>
              <w:t>g</w:t>
            </w:r>
            <w:r w:rsidR="00717925" w:rsidRPr="00D543FC">
              <w:rPr>
                <w:rFonts w:ascii="Verdana" w:hAnsi="Verdana"/>
                <w:b/>
                <w:sz w:val="18"/>
                <w:szCs w:val="18"/>
              </w:rPr>
              <w:t>en</w:t>
            </w:r>
            <w:r w:rsidRPr="00D543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11A4685" w14:textId="7D586E54" w:rsidR="00717925" w:rsidRPr="00D543FC" w:rsidRDefault="00717925" w:rsidP="007179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bCs/>
                <w:sz w:val="18"/>
                <w:szCs w:val="18"/>
              </w:rPr>
              <w:t>1)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Moet artikel 1, lid 2, van verordening (EG) nr. 1370/2007 aldus worden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uitgelegd dat het in de weg staat aan de toepassing van deze verordening op 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exploitatie van nationale en internationale openbare diensten voor multimodaal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personenvervoer waarbij ten eerste de openbaarvervoersdienst met het oog op 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gunning ervan een geheel vormt en wordt verricht per tramweg, kabelspoorweg 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kabelbaan, en ten tweede het spoorvervoer meer dan 50 % uitmaakt van de dienst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 volledig en als één geheel aan de exploitant wordt toevertrouwd?</w:t>
            </w:r>
          </w:p>
          <w:p w14:paraId="2DA45A88" w14:textId="2A5830FE" w:rsidR="00717925" w:rsidRPr="00D543FC" w:rsidRDefault="00717925" w:rsidP="007179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bCs/>
                <w:sz w:val="18"/>
                <w:szCs w:val="18"/>
              </w:rPr>
              <w:t>2)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Indien de eerste vraag ontkennend wordt beantwoord en verordening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nr. 1370/2007 wordt geacht ook van toepassing te zijn op de exploitatie van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nationale en internationale openbare diensten voor multimodaal personenvervoer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waarbij ten eerste de openbaarvervoersdienst met het oog op de gunning ervan een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geheel vormt en wordt verricht per tramweg, kabelspoorweg en kabelbaan, en ten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tweede het spoorvervoer meer dan 50 % uitmaakt van de dienst die volledig en als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één geheel aan de exploitant wordt toevertrouwd, moet dan artikel 5, leden 1 en 2,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van verordening nr. 1370/2007 aldus worden uitgelegd dat ook met betrekking tot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onderhandse gunning aan een interne exploitant van een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openbaredienstcontract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 xml:space="preserve"> dat personenvervoer per tram omvat, de rechtsvorm van 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gunningshandeling moet worden nagegaan, met als gevolg dat handelingen die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niet de vorm aannemen van een contract voor dienstenconcessies zijn uitgesloten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van het toepassingsgebied van artikel 5, lid 2, van verordening nr. 1370/2007?</w:t>
            </w:r>
          </w:p>
          <w:p w14:paraId="3F70DD59" w14:textId="50588543" w:rsidR="00717925" w:rsidRPr="00D543FC" w:rsidRDefault="00717925" w:rsidP="007179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bCs/>
                <w:sz w:val="18"/>
                <w:szCs w:val="18"/>
              </w:rPr>
              <w:t>3)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Indien de tweede vraag bevestigend wordt beantwoord, moet dan artikel 5,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punt 1, onder b), en punt 2, van richtlijn 2014/23/EU aldus worden uitgelegd dat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overdracht aan de begunstigde van het operationeel risico dat inherent is aan 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exploitatie van de diensten uitgesloten moet worden geacht wanneer de te gunnen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overeenkomst: a) gebaseerd is op de bruto kosten, waarbij de inkomsten toekomen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aan de aanbestedende dienst; b) voor de exploitant, als exploitatie-inkomsten,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uitsluitend voorziet in een door de [aanbestedende] dienst betaalde vergoeding,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 in verhouding staat tot de omvang van de verleende diensten (waarbij het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vraagrisico dus wordt uitgesloten); c) het operationeel vraagrisico (als gevolg van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verlaging van de vergoedingen wegens een vermindering van het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dienstenvolume over vooraf vastgestelde grenzen heen), het regelgevingsrisico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(wegens wijzigingen van de wet- of regelgeving, alsmede wegens vertraagde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afgifte van vergunningen en/of certificaten door bevoegde autoriteiten), het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financiële risico (wegens niet-betaling of te late betaling van de vergoedingen,</w:t>
            </w:r>
            <w:r w:rsid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alsmede wegens het niet aanpassen van de vergoedingen), alsmede het risico van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overmacht (als gevolg van een niet te voorziene wijziging van de voorwaarden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voor de verlening van de dienst) laat rusten op de aanbestedende dienst; alsmede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d) het operationeel aanbodrisico (als gevolg van fluctuerende kosten van factoren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waarover de exploitant geen controle heeft – elektriciteit, grondstoffen,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materialen), het risico van de arbeidsverhoudingen (als gevolg van wijzigingen in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de personeelskosten krachtens collectieve onderhandelingen), het exploitatierisico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(dat voortvloeit uit een negatieve dynamiek van de exploitatiekosten wegens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onjuiste ramingen), alsmede het maatschappelijke en milieurisico (dat voortvloeit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uit incidenten tijdens de uitvoering die betrekking hebben op voor de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dienstverlening functionele activa) overdraagt aan de begunstigde?</w:t>
            </w:r>
          </w:p>
          <w:p w14:paraId="63F0F907" w14:textId="61CDF550" w:rsidR="008F46E5" w:rsidRPr="00D543FC" w:rsidRDefault="00717925" w:rsidP="007179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D543FC">
              <w:rPr>
                <w:rFonts w:ascii="Verdana" w:hAnsi="Verdana"/>
                <w:b/>
                <w:bCs/>
                <w:sz w:val="18"/>
                <w:szCs w:val="18"/>
              </w:rPr>
              <w:t>4)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Tot slot, moeten de artikel 107, lid 1, VWEU en artikel 108, lid 3, VWEU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aldus worden uitgelegd dat in het kader van een onderhandse gunning van een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openbare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dienstcontract voor personenvervoer door een bevoegde plaatselijke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overheid aan een interne exploitant, staatssteun vormt dat onderworpen is aan de</w:t>
            </w:r>
            <w:r w:rsid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procedure van voorafgaande controle als bedoeld in artikel 108, lid 3, VWEU een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compensatie voor </w:t>
            </w:r>
            <w:proofErr w:type="spellStart"/>
            <w:r w:rsidRPr="00D543FC">
              <w:rPr>
                <w:rFonts w:ascii="Verdana" w:hAnsi="Verdana"/>
                <w:sz w:val="18"/>
                <w:szCs w:val="18"/>
              </w:rPr>
              <w:t>openbaredienstverplichtingen</w:t>
            </w:r>
            <w:proofErr w:type="spellEnd"/>
            <w:r w:rsidRPr="00D543FC">
              <w:rPr>
                <w:rFonts w:ascii="Verdana" w:hAnsi="Verdana"/>
                <w:sz w:val="18"/>
                <w:szCs w:val="18"/>
              </w:rPr>
              <w:t xml:space="preserve"> die wordt berekend op basis van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exploitatiekosten die, hoewel zij verband houden met de voorzienbare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dienstvereisten, ten eerste zijn vastgesteld rekening houdend met de historische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kosten van de dienst die werd verricht door de vorige exploitant, waaraan een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concessie voor diensten was verleend die voor meer dan tien jaar was verlengd, en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ten tweede in verhouding staan tot kosten of tegenprestaties die eveneens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betrekking hebben op de vorige gunning, althans zien op</w:t>
            </w:r>
            <w:r w:rsidRPr="00D543F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43FC">
              <w:rPr>
                <w:rFonts w:ascii="Verdana" w:hAnsi="Verdana"/>
                <w:sz w:val="18"/>
                <w:szCs w:val="18"/>
              </w:rPr>
              <w:t>standaardmarktparameters die voor alle exploitanten in de sector gelden?"</w:t>
            </w:r>
          </w:p>
          <w:p w14:paraId="1DE53E65" w14:textId="77777777" w:rsidR="00717925" w:rsidRPr="00D543FC" w:rsidRDefault="00717925" w:rsidP="00B47AB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3BF20A2" w14:textId="0603A962" w:rsidR="00AE1F5B" w:rsidRPr="00E95AF3" w:rsidRDefault="00AE1F5B" w:rsidP="007179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8"/>
                <w:szCs w:val="14"/>
              </w:rPr>
            </w:pPr>
            <w:r w:rsidRPr="00E95AF3">
              <w:rPr>
                <w:rFonts w:ascii="Verdana" w:hAnsi="Verdana"/>
                <w:b/>
                <w:sz w:val="16"/>
                <w:szCs w:val="14"/>
              </w:rPr>
              <w:t>Aangehaalde (recente) jurisprudentie:</w:t>
            </w:r>
            <w:r w:rsidR="00820432" w:rsidRPr="00E95AF3">
              <w:rPr>
                <w:rFonts w:ascii="Verdana" w:hAnsi="Verdana"/>
                <w:b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bCs/>
                <w:sz w:val="16"/>
                <w:szCs w:val="14"/>
              </w:rPr>
              <w:t>Altmark</w:t>
            </w:r>
            <w:proofErr w:type="spellEnd"/>
            <w:r w:rsidR="00820432" w:rsidRPr="00E95AF3">
              <w:rPr>
                <w:rFonts w:ascii="Verdana" w:hAnsi="Verdana"/>
                <w:bCs/>
                <w:sz w:val="16"/>
                <w:szCs w:val="14"/>
              </w:rPr>
              <w:t xml:space="preserve"> Trans en </w:t>
            </w:r>
            <w:proofErr w:type="spellStart"/>
            <w:r w:rsidR="00820432" w:rsidRPr="00E95AF3">
              <w:rPr>
                <w:rFonts w:ascii="Verdana" w:hAnsi="Verdana"/>
                <w:bCs/>
                <w:sz w:val="16"/>
                <w:szCs w:val="14"/>
              </w:rPr>
              <w:t>Regierungspräsidium</w:t>
            </w:r>
            <w:proofErr w:type="spellEnd"/>
            <w:r w:rsidR="00820432" w:rsidRPr="00E95AF3">
              <w:rPr>
                <w:rFonts w:ascii="Verdana" w:hAnsi="Verdana"/>
                <w:bCs/>
                <w:sz w:val="16"/>
                <w:szCs w:val="14"/>
              </w:rPr>
              <w:t xml:space="preserve"> Magdeburg</w:t>
            </w:r>
            <w:r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C-280/00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),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Parking Brixen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C-458/03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Privater</w:t>
            </w:r>
            <w:proofErr w:type="spellEnd"/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Rettungsdienst</w:t>
            </w:r>
            <w:proofErr w:type="spellEnd"/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und</w:t>
            </w:r>
            <w:proofErr w:type="spellEnd"/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Krankentransport</w:t>
            </w:r>
            <w:proofErr w:type="spellEnd"/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Stadler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C-274/09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OTP Bank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C-672/13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BVVG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C-39/14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Hörmann</w:t>
            </w:r>
            <w:proofErr w:type="spellEnd"/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820432" w:rsidRPr="00E95AF3">
              <w:rPr>
                <w:rFonts w:ascii="Verdana" w:hAnsi="Verdana"/>
                <w:sz w:val="16"/>
                <w:szCs w:val="14"/>
              </w:rPr>
              <w:t>Reisen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C-292/15</w:t>
            </w:r>
            <w:r w:rsidR="00820432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>TDC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C-327/15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>ENEA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C-329/15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Comunidad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Autónoma del País Vasco en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Itelazpi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>/Commissie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C-66/16 P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Fondul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Proprietatea</w:t>
            </w:r>
            <w:proofErr w:type="spellEnd"/>
            <w:r w:rsidR="00E95AF3">
              <w:rPr>
                <w:rFonts w:ascii="Verdana" w:hAnsi="Verdana"/>
                <w:sz w:val="16"/>
                <w:szCs w:val="14"/>
              </w:rPr>
              <w:t xml:space="preserve"> 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C-150/16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>Rudigier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 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C-518/17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Achema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e.a.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C-706/17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Rhenus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Veniro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C-253/18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Autorità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Garante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della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Concorrenza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e del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Mercato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C-515/18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Rieco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C-89/19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Porin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kaupunki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C-328/19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Viasat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Broadcasting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UK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C-445/19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Consorzio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Italian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Management e Catania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Multiservizi</w:t>
            </w:r>
            <w:proofErr w:type="spellEnd"/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 en Catania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Multiservizi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C-561/19</w:t>
            </w:r>
            <w:r w:rsidR="00E95AF3">
              <w:rPr>
                <w:rFonts w:ascii="Verdana" w:hAnsi="Verdana"/>
                <w:sz w:val="16"/>
                <w:szCs w:val="14"/>
              </w:rPr>
              <w:t xml:space="preserve">), </w:t>
            </w:r>
            <w:r w:rsidR="00E95AF3" w:rsidRPr="00E95AF3">
              <w:rPr>
                <w:rFonts w:ascii="Verdana" w:hAnsi="Verdana"/>
                <w:sz w:val="16"/>
                <w:szCs w:val="14"/>
              </w:rPr>
              <w:t xml:space="preserve">DB </w:t>
            </w:r>
            <w:proofErr w:type="spellStart"/>
            <w:r w:rsidR="00E95AF3" w:rsidRPr="00E95AF3">
              <w:rPr>
                <w:rFonts w:ascii="Verdana" w:hAnsi="Verdana"/>
                <w:sz w:val="16"/>
                <w:szCs w:val="14"/>
              </w:rPr>
              <w:t>Netz</w:t>
            </w:r>
            <w:proofErr w:type="spellEnd"/>
            <w:r w:rsidR="00717925" w:rsidRPr="00E95AF3">
              <w:rPr>
                <w:rFonts w:ascii="Verdana" w:hAnsi="Verdana"/>
                <w:sz w:val="16"/>
                <w:szCs w:val="14"/>
              </w:rPr>
              <w:t xml:space="preserve"> </w:t>
            </w:r>
            <w:r w:rsidR="00E95AF3">
              <w:rPr>
                <w:rFonts w:ascii="Verdana" w:hAnsi="Verdana"/>
                <w:sz w:val="16"/>
                <w:szCs w:val="14"/>
              </w:rPr>
              <w:t>(</w:t>
            </w:r>
            <w:r w:rsidR="00717925" w:rsidRPr="00E95AF3">
              <w:rPr>
                <w:rFonts w:ascii="Verdana" w:hAnsi="Verdana"/>
                <w:sz w:val="16"/>
                <w:szCs w:val="14"/>
              </w:rPr>
              <w:t>C-12/20</w:t>
            </w:r>
            <w:r w:rsidR="00E95AF3">
              <w:rPr>
                <w:rFonts w:ascii="Verdana" w:hAnsi="Verdana"/>
                <w:sz w:val="16"/>
                <w:szCs w:val="14"/>
              </w:rPr>
              <w:t>)</w:t>
            </w:r>
          </w:p>
        </w:tc>
      </w:tr>
      <w:tr w:rsidR="00AE1F5B" w:rsidRPr="00D543FC" w14:paraId="1633D8A8" w14:textId="77777777" w:rsidTr="00AE1F5B">
        <w:trPr>
          <w:trHeight w:val="336"/>
        </w:trPr>
        <w:tc>
          <w:tcPr>
            <w:tcW w:w="107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DDA5F1" w14:textId="56590C5D" w:rsidR="00AE1F5B" w:rsidRPr="00D543FC" w:rsidRDefault="00AE1F5B" w:rsidP="002F44B6">
            <w:pPr>
              <w:pStyle w:val="NoSpacing"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D543FC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Specifiek beleidsterrein: </w:t>
            </w:r>
            <w:proofErr w:type="spellStart"/>
            <w:r w:rsidR="00820432">
              <w:rPr>
                <w:rFonts w:ascii="Verdana" w:hAnsi="Verdana"/>
                <w:b/>
                <w:sz w:val="18"/>
                <w:szCs w:val="18"/>
              </w:rPr>
              <w:t>IenW</w:t>
            </w:r>
            <w:proofErr w:type="spellEnd"/>
            <w:r w:rsidR="00820432">
              <w:rPr>
                <w:rFonts w:ascii="Verdana" w:hAnsi="Verdana"/>
                <w:b/>
                <w:sz w:val="18"/>
                <w:szCs w:val="18"/>
              </w:rPr>
              <w:t>, EZK</w:t>
            </w:r>
          </w:p>
        </w:tc>
      </w:tr>
    </w:tbl>
    <w:p w14:paraId="5E0B7128" w14:textId="3990B426" w:rsidR="00AE1F5B" w:rsidRPr="00D543FC" w:rsidRDefault="00AE1F5B" w:rsidP="00AE1F5B">
      <w:pPr>
        <w:pStyle w:val="NoSpacing"/>
        <w:rPr>
          <w:rFonts w:ascii="Verdana" w:hAnsi="Verdana"/>
          <w:color w:val="FF0000"/>
          <w:sz w:val="14"/>
          <w:szCs w:val="14"/>
        </w:rPr>
      </w:pPr>
      <w:r w:rsidRPr="00D543FC">
        <w:rPr>
          <w:rFonts w:ascii="Verdana" w:hAnsi="Verdana"/>
          <w:color w:val="FF0000"/>
          <w:sz w:val="14"/>
          <w:szCs w:val="14"/>
        </w:rPr>
        <w:t xml:space="preserve">  </w:t>
      </w:r>
      <w:r w:rsidR="00BC09AE" w:rsidRPr="00D543FC">
        <w:rPr>
          <w:rFonts w:ascii="Verdana" w:hAnsi="Verdana"/>
          <w:sz w:val="14"/>
          <w:szCs w:val="14"/>
        </w:rPr>
        <w:t xml:space="preserve">MV – </w:t>
      </w:r>
      <w:r w:rsidR="00820432">
        <w:rPr>
          <w:rFonts w:ascii="Verdana" w:hAnsi="Verdana"/>
          <w:sz w:val="14"/>
          <w:szCs w:val="14"/>
        </w:rPr>
        <w:t>09</w:t>
      </w:r>
      <w:r w:rsidR="00E56024" w:rsidRPr="00D543FC">
        <w:rPr>
          <w:rFonts w:ascii="Verdana" w:hAnsi="Verdana"/>
          <w:sz w:val="14"/>
          <w:szCs w:val="14"/>
        </w:rPr>
        <w:t>-0</w:t>
      </w:r>
      <w:r w:rsidR="00820432">
        <w:rPr>
          <w:rFonts w:ascii="Verdana" w:hAnsi="Verdana"/>
          <w:sz w:val="14"/>
          <w:szCs w:val="14"/>
        </w:rPr>
        <w:t>5</w:t>
      </w:r>
      <w:r w:rsidR="00E56024" w:rsidRPr="00D543FC">
        <w:rPr>
          <w:rFonts w:ascii="Verdana" w:hAnsi="Verdana"/>
          <w:sz w:val="14"/>
          <w:szCs w:val="14"/>
        </w:rPr>
        <w:t>-22</w:t>
      </w:r>
    </w:p>
    <w:p w14:paraId="7800FA59" w14:textId="77777777" w:rsidR="00895661" w:rsidRPr="00D543FC" w:rsidRDefault="00895661">
      <w:pPr>
        <w:rPr>
          <w:rFonts w:ascii="Verdana" w:hAnsi="Verdana"/>
          <w:sz w:val="16"/>
          <w:szCs w:val="16"/>
        </w:rPr>
      </w:pPr>
    </w:p>
    <w:sectPr w:rsidR="00895661" w:rsidRPr="00D543FC" w:rsidSect="0029602C">
      <w:headerReference w:type="default" r:id="rId10"/>
      <w:pgSz w:w="12240" w:h="15840"/>
      <w:pgMar w:top="720" w:right="720" w:bottom="720" w:left="720" w:header="22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1539A" w14:textId="77777777" w:rsidR="00831416" w:rsidRDefault="00E56024">
      <w:r>
        <w:separator/>
      </w:r>
    </w:p>
  </w:endnote>
  <w:endnote w:type="continuationSeparator" w:id="0">
    <w:p w14:paraId="5AAE4436" w14:textId="77777777" w:rsidR="00831416" w:rsidRDefault="00E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0F306" w14:textId="77777777" w:rsidR="00831416" w:rsidRDefault="00E56024">
      <w:r>
        <w:separator/>
      </w:r>
    </w:p>
  </w:footnote>
  <w:footnote w:type="continuationSeparator" w:id="0">
    <w:p w14:paraId="272DBD15" w14:textId="77777777" w:rsidR="00831416" w:rsidRDefault="00E5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AD2F0" w14:textId="77777777" w:rsidR="004B5155" w:rsidRDefault="00AE1F5B" w:rsidP="004B5155">
    <w:pPr>
      <w:pStyle w:val="Header"/>
      <w:jc w:val="center"/>
      <w:rPr>
        <w:rFonts w:ascii="Verdana" w:eastAsiaTheme="minorHAnsi" w:hAnsi="Verdana"/>
        <w:b/>
        <w:bCs/>
        <w:sz w:val="20"/>
      </w:rPr>
    </w:pPr>
    <w:r>
      <w:rPr>
        <w:rFonts w:ascii="Verdana" w:hAnsi="Verdana"/>
        <w:b/>
        <w:bCs/>
        <w:sz w:val="20"/>
      </w:rPr>
      <w:t>Dit fiche is slechts een hulpmiddel. De verwijzingsbeschikking blijft leidend.</w:t>
    </w:r>
  </w:p>
  <w:p w14:paraId="1CDB054D" w14:textId="77777777" w:rsidR="004B5155" w:rsidRDefault="00FF497A" w:rsidP="004B51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F6B81"/>
    <w:multiLevelType w:val="hybridMultilevel"/>
    <w:tmpl w:val="087A7314"/>
    <w:lvl w:ilvl="0" w:tplc="227C73CE">
      <w:start w:val="4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E7979"/>
    <w:multiLevelType w:val="hybridMultilevel"/>
    <w:tmpl w:val="B79ED19A"/>
    <w:lvl w:ilvl="0" w:tplc="98407BB8">
      <w:start w:val="2017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5B"/>
    <w:rsid w:val="000561C1"/>
    <w:rsid w:val="00070634"/>
    <w:rsid w:val="00206013"/>
    <w:rsid w:val="002138DC"/>
    <w:rsid w:val="00282479"/>
    <w:rsid w:val="00302FAE"/>
    <w:rsid w:val="003B4BB6"/>
    <w:rsid w:val="00574CE4"/>
    <w:rsid w:val="006A596C"/>
    <w:rsid w:val="00717925"/>
    <w:rsid w:val="007204D1"/>
    <w:rsid w:val="00731213"/>
    <w:rsid w:val="00735109"/>
    <w:rsid w:val="00820432"/>
    <w:rsid w:val="00831416"/>
    <w:rsid w:val="00863873"/>
    <w:rsid w:val="00895661"/>
    <w:rsid w:val="008F46E5"/>
    <w:rsid w:val="009576FD"/>
    <w:rsid w:val="00AB1396"/>
    <w:rsid w:val="00AE1F5B"/>
    <w:rsid w:val="00B16B6F"/>
    <w:rsid w:val="00B47AB5"/>
    <w:rsid w:val="00B902C5"/>
    <w:rsid w:val="00BC09AE"/>
    <w:rsid w:val="00C0690B"/>
    <w:rsid w:val="00D45464"/>
    <w:rsid w:val="00D543FC"/>
    <w:rsid w:val="00DB3586"/>
    <w:rsid w:val="00DC34FA"/>
    <w:rsid w:val="00DD1B99"/>
    <w:rsid w:val="00E56024"/>
    <w:rsid w:val="00E95AF3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3767"/>
  <w15:chartTrackingRefBased/>
  <w15:docId w15:val="{5177814E-B1E3-4AC5-A8FB-2E1961FD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5B"/>
    <w:pPr>
      <w:spacing w:after="0" w:line="240" w:lineRule="auto"/>
    </w:pPr>
    <w:rPr>
      <w:rFonts w:ascii="Times New Roman" w:eastAsia="PMingLiU" w:hAnsi="Times New Roman" w:cs="Times New Roman"/>
      <w:szCs w:val="20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F5B"/>
    <w:pPr>
      <w:spacing w:after="0" w:line="240" w:lineRule="auto"/>
    </w:pPr>
    <w:rPr>
      <w:rFonts w:ascii="Times New Roman" w:eastAsia="PMingLiU" w:hAnsi="Times New Roman" w:cs="Times New Roman"/>
      <w:szCs w:val="20"/>
      <w:lang w:val="nl-NL" w:eastAsia="zh-CN"/>
    </w:rPr>
  </w:style>
  <w:style w:type="paragraph" w:styleId="Header">
    <w:name w:val="header"/>
    <w:basedOn w:val="Normal"/>
    <w:link w:val="HeaderChar"/>
    <w:uiPriority w:val="99"/>
    <w:unhideWhenUsed/>
    <w:rsid w:val="00AE1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5B"/>
    <w:rPr>
      <w:rFonts w:ascii="Times New Roman" w:eastAsia="PMingLiU" w:hAnsi="Times New Roman" w:cs="Times New Roman"/>
      <w:szCs w:val="20"/>
      <w:lang w:val="nl-NL" w:eastAsia="zh-CN"/>
    </w:rPr>
  </w:style>
  <w:style w:type="paragraph" w:styleId="ListParagraph">
    <w:name w:val="List Paragraph"/>
    <w:basedOn w:val="Normal"/>
    <w:uiPriority w:val="34"/>
    <w:qFormat/>
    <w:rsid w:val="00B4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97b8b-1da1-4ae6-a1ff-657158a5f6c3">
      <Value>26</Value>
      <Value>4</Value>
      <Value>3</Value>
      <Value>2</Value>
      <Value>1</Value>
    </TaxCatchAll>
    <ge4bd621e46a403e97baf402a410deb5 xmlns="74d97b8b-1da1-4ae6-a1ff-657158a5f6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ge4bd621e46a403e97baf402a410deb5>
    <ga509c7afcac4f5cb939db754ffece25 xmlns="74d97b8b-1da1-4ae6-a1ff-657158a5f6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d92c6340-bc14-4cb2-a9a6-6deda93c493b</TermId>
        </TermInfo>
        <TermInfo xmlns="http://schemas.microsoft.com/office/infopath/2007/PartnerControls">
          <TermName xmlns="http://schemas.microsoft.com/office/infopath/2007/PartnerControls">No marking</TermName>
          <TermId xmlns="http://schemas.microsoft.com/office/infopath/2007/PartnerControls">879e64ec-6597-483b-94db-f5f70afd7299</TermId>
        </TermInfo>
      </Terms>
    </ga509c7afcac4f5cb939db754ffece25>
    <a45510494d1a450e9cee6905c7ad8168 xmlns="74d97b8b-1da1-4ae6-a1ff-657158a5f6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Netherlands</TermName>
          <TermId xmlns="http://schemas.microsoft.com/office/infopath/2007/PartnerControls">7f69a7bb-478c-499d-a6cf-5869916dfee4</TermId>
        </TermInfo>
      </Terms>
    </a45510494d1a450e9cee6905c7ad8168>
    <nf4434b3fae540fe847866e45672fb3a xmlns="74d97b8b-1da1-4ae6-a1ff-657158a5f6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ec01d90b-9d0f-4785-8785-e1ea615196bf</TermId>
        </TermInfo>
      </Terms>
    </nf4434b3fae540fe847866e45672fb3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D150F7FEE9AA5A4DBA32A3A89F849380" ma:contentTypeVersion="13" ma:contentTypeDescription="The base content type which holds the minimum set of metadata required within BZ" ma:contentTypeScope="" ma:versionID="6db5242aa7def6d0ed2df7f3d7617515">
  <xsd:schema xmlns:xsd="http://www.w3.org/2001/XMLSchema" xmlns:xs="http://www.w3.org/2001/XMLSchema" xmlns:p="http://schemas.microsoft.com/office/2006/metadata/properties" xmlns:ns2="74d97b8b-1da1-4ae6-a1ff-657158a5f6c3" targetNamespace="http://schemas.microsoft.com/office/2006/metadata/properties" ma:root="true" ma:fieldsID="71e8a1a6933894c3a3df05c3b78e5947" ns2:_="">
    <xsd:import namespace="74d97b8b-1da1-4ae6-a1ff-657158a5f6c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7b8b-1da1-4ae6-a1ff-657158a5f6c3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f644e3-ac9a-43e6-855d-7a05c65346fa}" ma:internalName="TaxCatchAll" ma:showField="CatchAllData" ma:web="74d97b8b-1da1-4ae6-a1ff-657158a5f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7ff644e3-ac9a-43e6-855d-7a05c65346fa}" ma:internalName="TaxCatchAllLabel" ma:readOnly="true" ma:showField="CatchAllDataLabel" ma:web="74d97b8b-1da1-4ae6-a1ff-657158a5f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Not applicable|ec01d90b-9d0f-4785-8785-e1ea615196bf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2;#The Netherlands|7f69a7bb-478c-499d-a6cf-5869916dfee4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3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4;#UNCLASSIFIED|d92c6340-bc14-4cb2-a9a6-6deda93c493b;#26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2666A-32B0-4898-897A-B517CD4DF1D8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74d97b8b-1da1-4ae6-a1ff-657158a5f6c3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88B69-820B-4191-AE58-EFC97CD11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45A5A-B695-48FE-B610-2252E3C45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7b8b-1da1-4ae6-a1ff-657158a5f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1727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DJZ/ER</dc:creator>
  <cp:keywords/>
  <dc:description/>
  <cp:lastModifiedBy>Vesayt, Marie</cp:lastModifiedBy>
  <cp:revision>26</cp:revision>
  <dcterms:created xsi:type="dcterms:W3CDTF">2022-02-09T09:34:00Z</dcterms:created>
  <dcterms:modified xsi:type="dcterms:W3CDTF">2022-05-09T14:57:00Z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0x0101009C7CE436063D44E9BE7DC0259EF7C32F006EB9F9836A634AE58B6169785FD3936F00D150F7FEE9AA5A4DBA32A3A89F849380</vt:lpwstr>
  </property>
  <property fmtid="{D5CDD505-2E9C-101B-9397-08002B2CF9AE}" pid="3" name="BZ_Forum">
    <vt:lpwstr>3;#Not applicable|0049e722-bfb1-4a3f-9d08-af7366a9af40</vt:lpwstr>
  </property>
  <property fmtid="{D5CDD505-2E9C-101B-9397-08002B2CF9AE}" pid="4" name="BZ_Country">
    <vt:lpwstr>2;#The Netherlands|7f69a7bb-478c-499d-a6cf-5869916dfee4</vt:lpwstr>
  </property>
  <property fmtid="{D5CDD505-2E9C-101B-9397-08002B2CF9AE}" pid="5" name="BZ_Theme">
    <vt:lpwstr>1;#Not applicable|ec01d90b-9d0f-4785-8785-e1ea615196bf</vt:lpwstr>
  </property>
  <property fmtid="{D5CDD505-2E9C-101B-9397-08002B2CF9AE}" pid="6" name="BZ_Classification">
    <vt:lpwstr>4;#UNCLASSIFIED|d92c6340-bc14-4cb2-a9a6-6deda93c493b;#26;#No marking|879e64ec-6597-483b-94db-f5f70afd7299</vt:lpwstr>
  </property>
</Properties>
</file>