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AE1F5B" w:rsidRPr="00DE3905" w14:paraId="046CB36E" w14:textId="77777777" w:rsidTr="002F44B6">
        <w:trPr>
          <w:trHeight w:val="250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06C97E" w14:textId="77777777" w:rsidR="00AE1F5B" w:rsidRPr="00DE3905" w:rsidRDefault="00AE1F5B" w:rsidP="00584D4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lang w:val="de-DE" w:eastAsia="zh-TW"/>
              </w:rPr>
            </w:pPr>
            <w:proofErr w:type="spellStart"/>
            <w:r w:rsidRPr="00DE3905">
              <w:rPr>
                <w:rFonts w:ascii="Verdana" w:hAnsi="Verdana"/>
                <w:b/>
                <w:sz w:val="20"/>
                <w:lang w:val="de-DE"/>
              </w:rPr>
              <w:t>Prejudiciële</w:t>
            </w:r>
            <w:proofErr w:type="spellEnd"/>
            <w:r w:rsidRPr="00DE3905">
              <w:rPr>
                <w:rFonts w:ascii="Verdana" w:hAnsi="Verdana"/>
                <w:b/>
                <w:sz w:val="20"/>
                <w:lang w:val="de-DE"/>
              </w:rPr>
              <w:t xml:space="preserve"> </w:t>
            </w:r>
            <w:proofErr w:type="spellStart"/>
            <w:r w:rsidRPr="00DE3905">
              <w:rPr>
                <w:rFonts w:ascii="Verdana" w:hAnsi="Verdana"/>
                <w:b/>
                <w:sz w:val="20"/>
                <w:lang w:val="de-DE"/>
              </w:rPr>
              <w:t>hofzaak</w:t>
            </w:r>
            <w:proofErr w:type="spellEnd"/>
            <w:r w:rsidR="00584D49" w:rsidRPr="00DE3905">
              <w:rPr>
                <w:rFonts w:ascii="Verdana" w:hAnsi="Verdana"/>
                <w:b/>
                <w:sz w:val="20"/>
                <w:lang w:val="de-DE"/>
              </w:rPr>
              <w:t xml:space="preserve"> C-246/22 Staatsanwaltschaft Köln et Bundesamt für Güterverkehr                                                      (</w:t>
            </w:r>
            <w:proofErr w:type="spellStart"/>
            <w:r w:rsidR="00584D49" w:rsidRPr="00DE3905">
              <w:rPr>
                <w:rFonts w:ascii="Verdana" w:hAnsi="Verdana"/>
                <w:b/>
                <w:sz w:val="20"/>
                <w:lang w:val="de-DE"/>
              </w:rPr>
              <w:t>Duitsland</w:t>
            </w:r>
            <w:proofErr w:type="spellEnd"/>
            <w:r w:rsidR="00584D49" w:rsidRPr="00DE3905">
              <w:rPr>
                <w:rFonts w:ascii="Verdana" w:hAnsi="Verdana"/>
                <w:b/>
                <w:sz w:val="20"/>
                <w:lang w:val="de-DE"/>
              </w:rPr>
              <w:t>)</w:t>
            </w:r>
          </w:p>
        </w:tc>
      </w:tr>
      <w:tr w:rsidR="00AE1F5B" w:rsidRPr="001A5EA8" w14:paraId="3BB782FB" w14:textId="77777777" w:rsidTr="002F44B6">
        <w:trPr>
          <w:trHeight w:val="5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2C2F78" w14:textId="77777777" w:rsidR="00AE1F5B" w:rsidRDefault="00AE1F5B" w:rsidP="002F44B6">
            <w:pPr>
              <w:pStyle w:val="NoSpacing"/>
              <w:rPr>
                <w:rFonts w:ascii="Verdana" w:hAnsi="Verdana"/>
                <w:sz w:val="20"/>
                <w:szCs w:val="18"/>
              </w:rPr>
            </w:pPr>
            <w:r w:rsidRPr="008B3AD3">
              <w:rPr>
                <w:rFonts w:ascii="Verdana" w:hAnsi="Verdana"/>
                <w:b/>
                <w:sz w:val="20"/>
                <w:szCs w:val="18"/>
              </w:rPr>
              <w:t>Termijnen</w:t>
            </w:r>
            <w:r w:rsidRPr="008B3AD3">
              <w:rPr>
                <w:rFonts w:ascii="Verdana" w:hAnsi="Verdana"/>
                <w:sz w:val="20"/>
                <w:szCs w:val="18"/>
              </w:rPr>
              <w:t xml:space="preserve">: Motivering departement:    </w:t>
            </w:r>
            <w:r w:rsidR="00584D49">
              <w:rPr>
                <w:rFonts w:ascii="Verdana" w:hAnsi="Verdana"/>
                <w:sz w:val="20"/>
                <w:szCs w:val="18"/>
              </w:rPr>
              <w:t>13 juni 2022</w:t>
            </w:r>
          </w:p>
          <w:p w14:paraId="0F25E464" w14:textId="77777777" w:rsidR="00AE1F5B" w:rsidRPr="008B3AD3" w:rsidRDefault="00AE1F5B" w:rsidP="002F44B6">
            <w:pPr>
              <w:pStyle w:val="NoSpacing"/>
              <w:rPr>
                <w:rFonts w:ascii="Verdana" w:hAnsi="Verdana"/>
                <w:sz w:val="20"/>
                <w:szCs w:val="18"/>
              </w:rPr>
            </w:pPr>
            <w:r w:rsidRPr="008B3AD3">
              <w:rPr>
                <w:rFonts w:ascii="Verdana" w:hAnsi="Verdana"/>
                <w:sz w:val="20"/>
                <w:szCs w:val="18"/>
              </w:rPr>
              <w:t xml:space="preserve">Schriftelijke opmerkingen:                   </w:t>
            </w:r>
            <w:r>
              <w:rPr>
                <w:rFonts w:ascii="Verdana" w:hAnsi="Verdana"/>
                <w:sz w:val="20"/>
                <w:szCs w:val="18"/>
              </w:rPr>
              <w:t xml:space="preserve"> </w:t>
            </w:r>
            <w:r w:rsidR="00584D49">
              <w:rPr>
                <w:rFonts w:ascii="Verdana" w:hAnsi="Verdana"/>
                <w:sz w:val="20"/>
                <w:szCs w:val="18"/>
              </w:rPr>
              <w:t>30 juli 2022</w:t>
            </w:r>
          </w:p>
        </w:tc>
      </w:tr>
      <w:tr w:rsidR="00AE1F5B" w:rsidRPr="00296F03" w14:paraId="54E592D1" w14:textId="77777777" w:rsidTr="002F44B6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28A8EF" w14:textId="2D5F4051" w:rsidR="00AE1F5B" w:rsidRPr="008B3AD3" w:rsidRDefault="00AE1F5B" w:rsidP="002F44B6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20"/>
                <w:szCs w:val="18"/>
                <w:lang w:eastAsia="zh-TW"/>
              </w:rPr>
            </w:pPr>
            <w:r w:rsidRPr="008B3AD3">
              <w:rPr>
                <w:rFonts w:ascii="Verdana" w:hAnsi="Verdana"/>
                <w:b/>
                <w:sz w:val="20"/>
                <w:szCs w:val="18"/>
              </w:rPr>
              <w:t>Trefwoorden</w:t>
            </w:r>
            <w:r w:rsidRPr="008B3AD3">
              <w:rPr>
                <w:rFonts w:ascii="Verdana" w:hAnsi="Verdana"/>
                <w:sz w:val="20"/>
                <w:szCs w:val="18"/>
              </w:rPr>
              <w:t xml:space="preserve">: </w:t>
            </w:r>
            <w:r w:rsidR="0056120F">
              <w:rPr>
                <w:rFonts w:ascii="Verdana" w:hAnsi="Verdana"/>
                <w:sz w:val="20"/>
                <w:szCs w:val="18"/>
              </w:rPr>
              <w:t xml:space="preserve">vervoer, containers, cabotageritten, </w:t>
            </w:r>
            <w:r w:rsidR="0056120F" w:rsidRPr="00DE3905">
              <w:rPr>
                <w:rFonts w:ascii="Verdana" w:hAnsi="Verdana"/>
                <w:sz w:val="20"/>
              </w:rPr>
              <w:t>preferentiële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="0056120F" w:rsidRPr="00DE3905">
              <w:rPr>
                <w:rFonts w:ascii="Verdana" w:hAnsi="Verdana"/>
                <w:sz w:val="20"/>
              </w:rPr>
              <w:t>behandeling</w:t>
            </w:r>
          </w:p>
        </w:tc>
      </w:tr>
      <w:tr w:rsidR="00AE1F5B" w:rsidRPr="008868ED" w14:paraId="07E9CB06" w14:textId="77777777" w:rsidTr="002F44B6"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3E4C66" w14:textId="77777777" w:rsidR="00AE1F5B" w:rsidRDefault="00AE1F5B" w:rsidP="002F44B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</w:rPr>
            </w:pPr>
            <w:r w:rsidRPr="008B3AD3">
              <w:rPr>
                <w:rFonts w:ascii="Verdana" w:hAnsi="Verdana"/>
                <w:b/>
                <w:sz w:val="20"/>
              </w:rPr>
              <w:t>Onderwerp</w:t>
            </w:r>
            <w:r w:rsidRPr="008B3AD3">
              <w:rPr>
                <w:rFonts w:ascii="Verdana" w:hAnsi="Verdana"/>
                <w:sz w:val="20"/>
              </w:rPr>
              <w:t xml:space="preserve">: </w:t>
            </w:r>
          </w:p>
          <w:p w14:paraId="54892C25" w14:textId="77777777" w:rsidR="00DE3905" w:rsidRDefault="00DE3905" w:rsidP="00DE390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</w:rPr>
            </w:pPr>
            <w:r w:rsidRPr="00DE3905">
              <w:rPr>
                <w:rFonts w:ascii="Verdana" w:hAnsi="Verdana"/>
                <w:sz w:val="20"/>
              </w:rPr>
              <w:t>Verordening (EG) nr. 1072/2009 van het Europees Parlement en de Raad van 21 oktober 2009 tot vaststelling van gemeenschappelijke regels voor toegang tot de markt voor internationaal goederenvervoer over de weg</w:t>
            </w:r>
          </w:p>
          <w:p w14:paraId="32AB62BF" w14:textId="5D45DFD4" w:rsidR="00AE1F5B" w:rsidRPr="00DE3905" w:rsidRDefault="00DE3905" w:rsidP="00DE390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0"/>
              </w:rPr>
            </w:pPr>
            <w:r w:rsidRPr="00DE3905">
              <w:rPr>
                <w:rFonts w:ascii="Verdana" w:hAnsi="Verdana"/>
                <w:bCs/>
                <w:sz w:val="20"/>
              </w:rPr>
              <w:t>Richtlijn 92/106/EEG van de Raad van 7 december 1992 houdende vaststelling</w:t>
            </w:r>
            <w:r w:rsidRPr="00DE3905">
              <w:rPr>
                <w:rFonts w:ascii="Verdana" w:hAnsi="Verdana"/>
                <w:bCs/>
                <w:sz w:val="20"/>
              </w:rPr>
              <w:t xml:space="preserve"> </w:t>
            </w:r>
            <w:r w:rsidRPr="00DE3905">
              <w:rPr>
                <w:rFonts w:ascii="Verdana" w:hAnsi="Verdana"/>
                <w:bCs/>
                <w:sz w:val="20"/>
              </w:rPr>
              <w:t>van gemeenschappelijke voorschriften voor bepaalde vormen van gecombineerd</w:t>
            </w:r>
            <w:r w:rsidRPr="00DE3905">
              <w:rPr>
                <w:rFonts w:ascii="Verdana" w:hAnsi="Verdana"/>
                <w:bCs/>
                <w:sz w:val="20"/>
              </w:rPr>
              <w:t xml:space="preserve"> </w:t>
            </w:r>
            <w:r w:rsidRPr="00DE3905">
              <w:rPr>
                <w:rFonts w:ascii="Verdana" w:hAnsi="Verdana"/>
                <w:bCs/>
                <w:sz w:val="20"/>
              </w:rPr>
              <w:t>vervoer van goederen tussen lidstaten</w:t>
            </w:r>
          </w:p>
          <w:p w14:paraId="4F9BADD0" w14:textId="77777777" w:rsidR="00DE3905" w:rsidRDefault="00DE3905" w:rsidP="002F44B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</w:rPr>
            </w:pPr>
          </w:p>
          <w:p w14:paraId="73F805A9" w14:textId="77777777" w:rsidR="00AE1F5B" w:rsidRPr="008B3AD3" w:rsidRDefault="00AE1F5B" w:rsidP="002F44B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</w:rPr>
            </w:pPr>
            <w:r w:rsidRPr="008B3AD3">
              <w:rPr>
                <w:rFonts w:ascii="Verdana" w:hAnsi="Verdana"/>
                <w:b/>
                <w:sz w:val="20"/>
              </w:rPr>
              <w:t>Feiten:</w:t>
            </w:r>
          </w:p>
          <w:p w14:paraId="0CFE2127" w14:textId="7DA0DC69" w:rsidR="00AE1F5B" w:rsidRDefault="00DE3905" w:rsidP="00DE390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</w:rPr>
            </w:pPr>
            <w:r w:rsidRPr="00DE3905">
              <w:rPr>
                <w:rFonts w:ascii="Verdana" w:hAnsi="Verdana"/>
                <w:sz w:val="20"/>
              </w:rPr>
              <w:t>Op 22</w:t>
            </w:r>
            <w:r>
              <w:rPr>
                <w:rFonts w:ascii="Verdana" w:hAnsi="Verdana"/>
                <w:sz w:val="20"/>
              </w:rPr>
              <w:t>-01-</w:t>
            </w:r>
            <w:r w:rsidRPr="00DE3905">
              <w:rPr>
                <w:rFonts w:ascii="Verdana" w:hAnsi="Verdana"/>
                <w:sz w:val="20"/>
              </w:rPr>
              <w:t xml:space="preserve">2020 en </w:t>
            </w:r>
            <w:r>
              <w:rPr>
                <w:rFonts w:ascii="Verdana" w:hAnsi="Verdana"/>
                <w:sz w:val="20"/>
              </w:rPr>
              <w:t>06-02-</w:t>
            </w:r>
            <w:r w:rsidRPr="00DE3905">
              <w:rPr>
                <w:rFonts w:ascii="Verdana" w:hAnsi="Verdana"/>
                <w:sz w:val="20"/>
              </w:rPr>
              <w:t xml:space="preserve">2020 heeft </w:t>
            </w:r>
            <w:r w:rsidR="0056120F">
              <w:rPr>
                <w:rFonts w:ascii="Verdana" w:hAnsi="Verdana"/>
                <w:sz w:val="20"/>
              </w:rPr>
              <w:t xml:space="preserve">het </w:t>
            </w:r>
            <w:proofErr w:type="spellStart"/>
            <w:r w:rsidR="0056120F" w:rsidRPr="0056120F">
              <w:rPr>
                <w:rFonts w:ascii="Verdana" w:hAnsi="Verdana"/>
                <w:sz w:val="20"/>
              </w:rPr>
              <w:t>Bundesamt</w:t>
            </w:r>
            <w:proofErr w:type="spellEnd"/>
            <w:r w:rsidR="0056120F" w:rsidRPr="0056120F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="0056120F" w:rsidRPr="0056120F">
              <w:rPr>
                <w:rFonts w:ascii="Verdana" w:hAnsi="Verdana"/>
                <w:sz w:val="20"/>
              </w:rPr>
              <w:t>für</w:t>
            </w:r>
            <w:proofErr w:type="spellEnd"/>
            <w:r w:rsidR="0056120F" w:rsidRPr="0056120F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="0056120F" w:rsidRPr="0056120F">
              <w:rPr>
                <w:rFonts w:ascii="Verdana" w:hAnsi="Verdana"/>
                <w:sz w:val="20"/>
              </w:rPr>
              <w:t>Güterverkehr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r w:rsidR="0056120F">
              <w:rPr>
                <w:rFonts w:ascii="Verdana" w:hAnsi="Verdana"/>
                <w:sz w:val="20"/>
              </w:rPr>
              <w:t>(</w:t>
            </w:r>
            <w:r w:rsidRPr="00DE3905">
              <w:rPr>
                <w:rFonts w:ascii="Verdana" w:hAnsi="Verdana"/>
                <w:sz w:val="20"/>
              </w:rPr>
              <w:t>federale dienst voor goederenvervoer, Duitsland</w:t>
            </w:r>
            <w:r w:rsidR="0056120F">
              <w:rPr>
                <w:rFonts w:ascii="Verdana" w:hAnsi="Verdana"/>
                <w:sz w:val="20"/>
              </w:rPr>
              <w:t>)</w:t>
            </w:r>
            <w:r w:rsidRPr="00DE3905">
              <w:rPr>
                <w:rFonts w:ascii="Verdana" w:hAnsi="Verdana"/>
                <w:sz w:val="20"/>
              </w:rPr>
              <w:t xml:space="preserve"> een controle ter plaatse verricht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 xml:space="preserve">bij de onderneming </w:t>
            </w:r>
            <w:proofErr w:type="spellStart"/>
            <w:r w:rsidRPr="00DE3905">
              <w:rPr>
                <w:rFonts w:ascii="Verdana" w:hAnsi="Verdana"/>
                <w:sz w:val="20"/>
              </w:rPr>
              <w:t>Contargo</w:t>
            </w:r>
            <w:proofErr w:type="spellEnd"/>
            <w:r w:rsidRPr="00DE3905">
              <w:rPr>
                <w:rFonts w:ascii="Verdana" w:hAnsi="Verdana"/>
                <w:sz w:val="20"/>
              </w:rPr>
              <w:t xml:space="preserve"> Rhein-Neckar GmbH,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Ludwigshafen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(Duitsland), waarbij het opmerkingen heeft gemaakt over 60 transporten die de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 xml:space="preserve">onderneming TIM-Trans </w:t>
            </w:r>
            <w:proofErr w:type="spellStart"/>
            <w:r w:rsidRPr="00DE3905">
              <w:rPr>
                <w:rFonts w:ascii="Verdana" w:hAnsi="Verdana"/>
                <w:sz w:val="20"/>
              </w:rPr>
              <w:t>Impex</w:t>
            </w:r>
            <w:proofErr w:type="spellEnd"/>
            <w:r w:rsidRPr="00DE3905">
              <w:rPr>
                <w:rFonts w:ascii="Verdana" w:hAnsi="Verdana"/>
                <w:sz w:val="20"/>
              </w:rPr>
              <w:t xml:space="preserve"> SRL tussen 6 en 27</w:t>
            </w:r>
            <w:r>
              <w:rPr>
                <w:rFonts w:ascii="Verdana" w:hAnsi="Verdana"/>
                <w:sz w:val="20"/>
              </w:rPr>
              <w:t>-05-</w:t>
            </w:r>
            <w:r w:rsidRPr="00DE3905">
              <w:rPr>
                <w:rFonts w:ascii="Verdana" w:hAnsi="Verdana"/>
                <w:sz w:val="20"/>
              </w:rPr>
              <w:t>2019 heeft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 xml:space="preserve">uitgevoerd voor de onderneming </w:t>
            </w:r>
            <w:proofErr w:type="spellStart"/>
            <w:r w:rsidRPr="00DE3905">
              <w:rPr>
                <w:rFonts w:ascii="Verdana" w:hAnsi="Verdana"/>
                <w:sz w:val="20"/>
              </w:rPr>
              <w:t>Contargo</w:t>
            </w:r>
            <w:proofErr w:type="spellEnd"/>
            <w:r w:rsidRPr="00DE3905">
              <w:rPr>
                <w:rFonts w:ascii="Verdana" w:hAnsi="Verdana"/>
                <w:sz w:val="20"/>
              </w:rPr>
              <w:t>. Betrokkene is de bedrijfsleider van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 xml:space="preserve">TIM-Trans. Het </w:t>
            </w:r>
            <w:proofErr w:type="spellStart"/>
            <w:r w:rsidRPr="00DE3905">
              <w:rPr>
                <w:rFonts w:ascii="Verdana" w:hAnsi="Verdana"/>
                <w:sz w:val="20"/>
              </w:rPr>
              <w:t>Bundesamt</w:t>
            </w:r>
            <w:proofErr w:type="spellEnd"/>
            <w:r w:rsidRPr="00DE3905">
              <w:rPr>
                <w:rFonts w:ascii="Verdana" w:hAnsi="Verdana"/>
                <w:sz w:val="20"/>
              </w:rPr>
              <w:t xml:space="preserve"> verwijt haar in ten minste 57 gevallen lege containers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te hebben vervoerd die niet onder de preferentiële behandeling van het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56120F">
              <w:rPr>
                <w:rFonts w:ascii="Verdana" w:hAnsi="Verdana"/>
                <w:sz w:val="20"/>
              </w:rPr>
              <w:t>gecombineerd vervoer vallen en dus</w:t>
            </w:r>
            <w:r w:rsidR="0056120F" w:rsidRP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cabotageritten waren. Bijgevolg heeft betrokkene, als bedrijfsleider, de in artikel 8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 xml:space="preserve">van verordening 1072/2009 bedoelde beperking van 3 </w:t>
            </w:r>
            <w:r w:rsidR="0056120F">
              <w:rPr>
                <w:rFonts w:ascii="Verdana" w:hAnsi="Verdana"/>
                <w:sz w:val="20"/>
              </w:rPr>
              <w:t>t</w:t>
            </w:r>
            <w:r w:rsidRPr="00DE3905">
              <w:rPr>
                <w:rFonts w:ascii="Verdana" w:hAnsi="Verdana"/>
                <w:sz w:val="20"/>
              </w:rPr>
              <w:t>ransporten – in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– 7 dagen overtreden.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Betrokkene betwist niet dat zij de transporten als zodanig heeft uitgevoerd. Zij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stelt zich echter op het standpunt dat het vervoer van lege containers deel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uitmaakte van het vervoer van geladen containers die onder de preferentiële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behandeling van het zogenaamde gecombineerd vervoer vallen</w:t>
            </w:r>
            <w:r w:rsidR="00417635">
              <w:rPr>
                <w:rFonts w:ascii="Verdana" w:hAnsi="Verdana"/>
                <w:sz w:val="20"/>
              </w:rPr>
              <w:t xml:space="preserve">. </w:t>
            </w:r>
            <w:r w:rsidRPr="00DE3905">
              <w:rPr>
                <w:rFonts w:ascii="Verdana" w:hAnsi="Verdana"/>
                <w:sz w:val="20"/>
              </w:rPr>
              <w:t>Volgens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betrokkene zijn die transporten van lege containers vanaf de losplaats naar de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plaats waar zij opnieuw zullen worden geladen, een onderdeel van de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vervoersovereenkomst en kunnen zij niet afzonderlijk worden beoordeeld.</w:t>
            </w:r>
          </w:p>
          <w:p w14:paraId="29223350" w14:textId="77777777" w:rsidR="00AE1F5B" w:rsidRDefault="00AE1F5B" w:rsidP="002F44B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</w:rPr>
            </w:pPr>
          </w:p>
          <w:p w14:paraId="201756C9" w14:textId="77777777" w:rsidR="00AE1F5B" w:rsidRPr="008B3AD3" w:rsidRDefault="00AE1F5B" w:rsidP="002F44B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</w:rPr>
            </w:pPr>
            <w:r w:rsidRPr="008B3AD3">
              <w:rPr>
                <w:rFonts w:ascii="Verdana" w:hAnsi="Verdana"/>
                <w:b/>
                <w:sz w:val="20"/>
              </w:rPr>
              <w:t>Overweging:</w:t>
            </w:r>
          </w:p>
          <w:p w14:paraId="3A6924E0" w14:textId="3A367121" w:rsidR="00AE1F5B" w:rsidRDefault="00DE3905" w:rsidP="00DE390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</w:rPr>
            </w:pPr>
            <w:r w:rsidRPr="00DE3905">
              <w:rPr>
                <w:rFonts w:ascii="Verdana" w:hAnsi="Verdana"/>
                <w:sz w:val="20"/>
              </w:rPr>
              <w:t>De verwijzende rechter is op basis van de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 xml:space="preserve">beschikbare informatie van oordeel dat het cruciale gegeven in </w:t>
            </w:r>
            <w:proofErr w:type="spellStart"/>
            <w:r w:rsidRPr="00DE3905">
              <w:rPr>
                <w:rFonts w:ascii="Verdana" w:hAnsi="Verdana"/>
                <w:sz w:val="20"/>
              </w:rPr>
              <w:t>casu</w:t>
            </w:r>
            <w:proofErr w:type="spellEnd"/>
            <w:r w:rsidRPr="00DE3905">
              <w:rPr>
                <w:rFonts w:ascii="Verdana" w:hAnsi="Verdana"/>
                <w:sz w:val="20"/>
              </w:rPr>
              <w:t xml:space="preserve"> de vraag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betreft of het vervoer van lege containers tot aan een laadplaats of vanaf een plaats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waar de volle containers zijn gelost, deel uitmaakt van het vervoer van geladen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containers in het kader van het gecombineerd vervoer, dan wel als een juridisch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zelfstandig transport moet worden opgevat.</w:t>
            </w:r>
            <w:r>
              <w:rPr>
                <w:rFonts w:ascii="Verdana" w:hAnsi="Verdana"/>
                <w:sz w:val="20"/>
              </w:rPr>
              <w:t xml:space="preserve"> V</w:t>
            </w:r>
            <w:r w:rsidRPr="00DE3905">
              <w:rPr>
                <w:rFonts w:ascii="Verdana" w:hAnsi="Verdana"/>
                <w:sz w:val="20"/>
              </w:rPr>
              <w:t>erordening 1072/2009</w:t>
            </w:r>
            <w:r>
              <w:rPr>
                <w:rFonts w:ascii="Verdana" w:hAnsi="Verdana"/>
                <w:sz w:val="20"/>
              </w:rPr>
              <w:t xml:space="preserve"> bevat</w:t>
            </w:r>
            <w:r w:rsidRPr="00DE3905">
              <w:rPr>
                <w:rFonts w:ascii="Verdana" w:hAnsi="Verdana"/>
                <w:sz w:val="20"/>
              </w:rPr>
              <w:t xml:space="preserve"> geen duidelijke regeling.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Zij is volgens overweging 16 ervan juist niet van toepassing op het gecombineerd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V</w:t>
            </w:r>
            <w:r w:rsidRPr="00DE3905">
              <w:rPr>
                <w:rFonts w:ascii="Verdana" w:hAnsi="Verdana"/>
                <w:sz w:val="20"/>
              </w:rPr>
              <w:t>ervoer</w:t>
            </w:r>
            <w:r>
              <w:rPr>
                <w:rFonts w:ascii="Verdana" w:hAnsi="Verdana"/>
                <w:sz w:val="20"/>
              </w:rPr>
              <w:t xml:space="preserve">. </w:t>
            </w:r>
            <w:r w:rsidRPr="00DE3905">
              <w:rPr>
                <w:rFonts w:ascii="Verdana" w:hAnsi="Verdana"/>
                <w:sz w:val="20"/>
              </w:rPr>
              <w:t>Richtlijn 92/106/EEG bevat evenmin een uitdrukkelijke regeling.</w:t>
            </w:r>
            <w:r w:rsidRPr="00DE3905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De verwijzende rechter vindt de beantwoording van deze vraag, zoals gezegd, niet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alleen van belang voor de beslechting van het geding, maar acht die anderzijds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ook geschikt met het oog op de uniforme handhaving in de lidstaten van de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Europese Unie, aangezien deze vraag mogelijkerwijs verschillend wordt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beantwoord, met als gevolg dat het vervoer van lege containers in sommige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landen deel uitmaakt van het gecombineerd vervoer, maar in andere landen niet.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Dat zou leiden tot een ongelijke behandeling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aangezien in de landen die een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strikte uitlegging voorstaan, zoals momenteel Duitsland,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noodzakelijkerwijs rekening moet worden gehouden met overtredingen van de</w:t>
            </w:r>
            <w:r w:rsidR="00417635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cabotagebepalingen en dus hoge administratieve geldboetes, terwijl in landen die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een ruime uitlegging hanteren, gecombineerd vervoer een preferentiële</w:t>
            </w:r>
            <w:r w:rsidR="0056120F">
              <w:rPr>
                <w:rFonts w:ascii="Verdana" w:hAnsi="Verdana"/>
                <w:sz w:val="20"/>
              </w:rPr>
              <w:t xml:space="preserve"> </w:t>
            </w:r>
            <w:r w:rsidRPr="00DE3905">
              <w:rPr>
                <w:rFonts w:ascii="Verdana" w:hAnsi="Verdana"/>
                <w:sz w:val="20"/>
              </w:rPr>
              <w:t>behandeling geniet en ondernemingen dus vrijer kunnen handelen.</w:t>
            </w:r>
          </w:p>
          <w:p w14:paraId="7EC4E1F4" w14:textId="77777777" w:rsidR="00AE1F5B" w:rsidRPr="00962C40" w:rsidRDefault="00AE1F5B" w:rsidP="002F44B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</w:rPr>
            </w:pPr>
          </w:p>
          <w:p w14:paraId="621D4287" w14:textId="6435F6E2" w:rsidR="00AE1F5B" w:rsidRPr="008B3AD3" w:rsidRDefault="00AE1F5B" w:rsidP="002F44B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</w:rPr>
            </w:pPr>
            <w:r w:rsidRPr="008B3AD3">
              <w:rPr>
                <w:rFonts w:ascii="Verdana" w:hAnsi="Verdana"/>
                <w:b/>
                <w:sz w:val="20"/>
              </w:rPr>
              <w:t>Prejudiciële vra</w:t>
            </w:r>
            <w:r w:rsidR="00DE3905">
              <w:rPr>
                <w:rFonts w:ascii="Verdana" w:hAnsi="Verdana"/>
                <w:b/>
                <w:sz w:val="20"/>
              </w:rPr>
              <w:t>a</w:t>
            </w:r>
            <w:r w:rsidRPr="008B3AD3">
              <w:rPr>
                <w:rFonts w:ascii="Verdana" w:hAnsi="Verdana"/>
                <w:b/>
                <w:sz w:val="20"/>
              </w:rPr>
              <w:t>g:</w:t>
            </w:r>
          </w:p>
          <w:p w14:paraId="178E1CAC" w14:textId="77777777" w:rsidR="00584D49" w:rsidRPr="00584D49" w:rsidRDefault="00584D49" w:rsidP="00584D49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</w:rPr>
            </w:pPr>
            <w:r w:rsidRPr="00584D49">
              <w:rPr>
                <w:rFonts w:ascii="Verdana" w:hAnsi="Verdana"/>
                <w:sz w:val="20"/>
              </w:rPr>
              <w:t>Maakt het vervoer van lege containers naar [de laadplaats] of vanaf [de losplaats]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584D49">
              <w:rPr>
                <w:rFonts w:ascii="Verdana" w:hAnsi="Verdana"/>
                <w:sz w:val="20"/>
              </w:rPr>
              <w:t>onlosmakelijk deel uit van het vervoer van geladen containers, zodat het vervoer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584D49">
              <w:rPr>
                <w:rFonts w:ascii="Verdana" w:hAnsi="Verdana"/>
                <w:sz w:val="20"/>
              </w:rPr>
              <w:t>van lege containers mede onder de preferentiële behandeling van het vervoer van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584D49">
              <w:rPr>
                <w:rFonts w:ascii="Verdana" w:hAnsi="Verdana"/>
                <w:sz w:val="20"/>
              </w:rPr>
              <w:t>volle containers valt voor zover deze in het kader van het gecombineerd vervoer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584D49">
              <w:rPr>
                <w:rFonts w:ascii="Verdana" w:hAnsi="Verdana"/>
                <w:sz w:val="20"/>
              </w:rPr>
              <w:t>zijn vrijgesteld van de cabotagebepalingen?</w:t>
            </w:r>
          </w:p>
          <w:p w14:paraId="02B3BB54" w14:textId="77777777" w:rsidR="00AE1F5B" w:rsidRDefault="00AE1F5B" w:rsidP="002F44B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</w:p>
          <w:p w14:paraId="44262F1A" w14:textId="77777777" w:rsidR="00AE1F5B" w:rsidRPr="009E501B" w:rsidRDefault="00AE1F5B" w:rsidP="002F44B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16"/>
              </w:rPr>
            </w:pPr>
            <w:r w:rsidRPr="008868ED">
              <w:rPr>
                <w:rFonts w:ascii="Verdana" w:hAnsi="Verdana"/>
                <w:sz w:val="18"/>
                <w:szCs w:val="16"/>
              </w:rPr>
              <w:t xml:space="preserve">Aangehaalde (recente) jurisprudentie: </w:t>
            </w:r>
          </w:p>
        </w:tc>
      </w:tr>
      <w:tr w:rsidR="00AE1F5B" w:rsidRPr="00296F03" w14:paraId="38E5E618" w14:textId="77777777" w:rsidTr="00AE1F5B">
        <w:trPr>
          <w:trHeight w:val="336"/>
        </w:trPr>
        <w:tc>
          <w:tcPr>
            <w:tcW w:w="107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1E4FBE" w14:textId="483E08EF" w:rsidR="00AE1F5B" w:rsidRPr="00296F03" w:rsidRDefault="00AE1F5B" w:rsidP="002F44B6">
            <w:pPr>
              <w:pStyle w:val="NoSpacing"/>
              <w:rPr>
                <w:rFonts w:ascii="Verdana" w:hAnsi="Verdana"/>
                <w:sz w:val="20"/>
                <w:lang w:eastAsia="zh-TW"/>
              </w:rPr>
            </w:pPr>
            <w:r w:rsidRPr="00296F03">
              <w:rPr>
                <w:rFonts w:ascii="Verdana" w:hAnsi="Verdana"/>
                <w:b/>
                <w:sz w:val="20"/>
              </w:rPr>
              <w:t xml:space="preserve">Specifiek </w:t>
            </w:r>
            <w:r>
              <w:rPr>
                <w:rFonts w:ascii="Verdana" w:hAnsi="Verdana"/>
                <w:b/>
                <w:sz w:val="20"/>
              </w:rPr>
              <w:t xml:space="preserve">beleidsterrein: </w:t>
            </w:r>
            <w:proofErr w:type="spellStart"/>
            <w:r w:rsidR="0056120F">
              <w:rPr>
                <w:rFonts w:ascii="Verdana" w:hAnsi="Verdana"/>
                <w:b/>
                <w:sz w:val="20"/>
              </w:rPr>
              <w:t>IenW</w:t>
            </w:r>
            <w:proofErr w:type="spellEnd"/>
          </w:p>
        </w:tc>
      </w:tr>
    </w:tbl>
    <w:p w14:paraId="66B8F7CA" w14:textId="77777777" w:rsidR="00AE1F5B" w:rsidRPr="00A72379" w:rsidRDefault="00AE1F5B" w:rsidP="00AE1F5B">
      <w:pPr>
        <w:pStyle w:val="NoSpacing"/>
        <w:rPr>
          <w:rFonts w:ascii="Verdana" w:hAnsi="Verdana"/>
          <w:color w:val="FF0000"/>
          <w:sz w:val="16"/>
          <w:szCs w:val="16"/>
        </w:rPr>
      </w:pPr>
      <w:r w:rsidRPr="00A72379">
        <w:rPr>
          <w:rFonts w:ascii="Verdana" w:hAnsi="Verdana"/>
          <w:color w:val="FF0000"/>
          <w:sz w:val="16"/>
          <w:szCs w:val="16"/>
        </w:rPr>
        <w:t xml:space="preserve">  </w:t>
      </w:r>
      <w:r w:rsidR="00584D49" w:rsidRPr="00584D49">
        <w:rPr>
          <w:rFonts w:ascii="Verdana" w:hAnsi="Verdana"/>
          <w:sz w:val="16"/>
          <w:szCs w:val="16"/>
        </w:rPr>
        <w:t>MV – 30-05-22</w:t>
      </w:r>
    </w:p>
    <w:p w14:paraId="6106EEC0" w14:textId="77777777" w:rsidR="00895661" w:rsidRPr="00B902C5" w:rsidRDefault="00895661">
      <w:pPr>
        <w:rPr>
          <w:rFonts w:ascii="Verdana" w:hAnsi="Verdana"/>
          <w:sz w:val="18"/>
          <w:szCs w:val="18"/>
        </w:rPr>
      </w:pPr>
    </w:p>
    <w:sectPr w:rsidR="00895661" w:rsidRPr="00B902C5" w:rsidSect="0029602C">
      <w:headerReference w:type="default" r:id="rId10"/>
      <w:pgSz w:w="12240" w:h="15840"/>
      <w:pgMar w:top="720" w:right="720" w:bottom="720" w:left="720" w:header="22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F3BA6" w14:textId="77777777" w:rsidR="002D38F7" w:rsidRDefault="00584D49">
      <w:r>
        <w:separator/>
      </w:r>
    </w:p>
  </w:endnote>
  <w:endnote w:type="continuationSeparator" w:id="0">
    <w:p w14:paraId="1F4990CD" w14:textId="77777777" w:rsidR="002D38F7" w:rsidRDefault="0058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7" w:usb1="08070000" w:usb2="00000010" w:usb3="00000000" w:csb0="0002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7E93E" w14:textId="77777777" w:rsidR="002D38F7" w:rsidRDefault="00584D49">
      <w:r>
        <w:separator/>
      </w:r>
    </w:p>
  </w:footnote>
  <w:footnote w:type="continuationSeparator" w:id="0">
    <w:p w14:paraId="79F76C92" w14:textId="77777777" w:rsidR="002D38F7" w:rsidRDefault="0058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4D820" w14:textId="77777777" w:rsidR="004B5155" w:rsidRDefault="00AE1F5B" w:rsidP="004B5155">
    <w:pPr>
      <w:pStyle w:val="Header"/>
      <w:jc w:val="center"/>
      <w:rPr>
        <w:rFonts w:ascii="Verdana" w:eastAsiaTheme="minorHAnsi" w:hAnsi="Verdana"/>
        <w:b/>
        <w:bCs/>
        <w:sz w:val="20"/>
      </w:rPr>
    </w:pPr>
    <w:r>
      <w:rPr>
        <w:rFonts w:ascii="Verdana" w:hAnsi="Verdana"/>
        <w:b/>
        <w:bCs/>
        <w:sz w:val="20"/>
      </w:rPr>
      <w:t>Dit fiche is slechts een hulpmiddel. De verwijzingsbeschikking blijft leidend.</w:t>
    </w:r>
  </w:p>
  <w:p w14:paraId="11F414B3" w14:textId="77777777" w:rsidR="004B5155" w:rsidRDefault="00417635" w:rsidP="004B51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3243B8"/>
    <w:multiLevelType w:val="hybridMultilevel"/>
    <w:tmpl w:val="2BBC59FC"/>
    <w:lvl w:ilvl="0" w:tplc="D09EDC98">
      <w:start w:val="3"/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5B"/>
    <w:rsid w:val="00034DB1"/>
    <w:rsid w:val="002077C3"/>
    <w:rsid w:val="002D38F7"/>
    <w:rsid w:val="00401530"/>
    <w:rsid w:val="00417635"/>
    <w:rsid w:val="0056120F"/>
    <w:rsid w:val="00584D49"/>
    <w:rsid w:val="00735109"/>
    <w:rsid w:val="00895661"/>
    <w:rsid w:val="00AE1F5B"/>
    <w:rsid w:val="00B902C5"/>
    <w:rsid w:val="00D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CFAE"/>
  <w15:chartTrackingRefBased/>
  <w15:docId w15:val="{5177814E-B1E3-4AC5-A8FB-2E1961FD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F5B"/>
    <w:pPr>
      <w:spacing w:after="0" w:line="240" w:lineRule="auto"/>
    </w:pPr>
    <w:rPr>
      <w:rFonts w:ascii="Times New Roman" w:eastAsia="PMingLiU" w:hAnsi="Times New Roman" w:cs="Times New Roman"/>
      <w:szCs w:val="20"/>
      <w:lang w:val="nl-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F5B"/>
    <w:pPr>
      <w:spacing w:after="0" w:line="240" w:lineRule="auto"/>
    </w:pPr>
    <w:rPr>
      <w:rFonts w:ascii="Times New Roman" w:eastAsia="PMingLiU" w:hAnsi="Times New Roman" w:cs="Times New Roman"/>
      <w:szCs w:val="20"/>
      <w:lang w:val="nl-NL" w:eastAsia="zh-CN"/>
    </w:rPr>
  </w:style>
  <w:style w:type="paragraph" w:styleId="Header">
    <w:name w:val="header"/>
    <w:basedOn w:val="Normal"/>
    <w:link w:val="HeaderChar"/>
    <w:uiPriority w:val="99"/>
    <w:unhideWhenUsed/>
    <w:rsid w:val="00AE1F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F5B"/>
    <w:rPr>
      <w:rFonts w:ascii="Times New Roman" w:eastAsia="PMingLiU" w:hAnsi="Times New Roman" w:cs="Times New Roman"/>
      <w:szCs w:val="20"/>
      <w:lang w:val="nl-NL" w:eastAsia="zh-CN"/>
    </w:rPr>
  </w:style>
  <w:style w:type="paragraph" w:styleId="ListParagraph">
    <w:name w:val="List Paragraph"/>
    <w:basedOn w:val="Normal"/>
    <w:uiPriority w:val="34"/>
    <w:qFormat/>
    <w:rsid w:val="00DE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EB82094F19440A7EEE9B7E5820D45" ma:contentTypeVersion="0" ma:contentTypeDescription="Create a new document." ma:contentTypeScope="" ma:versionID="fb53fa385c537e330057f1bfb6f48d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87112cdce0aae9832ee18d0076b64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CAF54-81D6-45E0-87EE-9451D142839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74d97b8b-1da1-4ae6-a1ff-657158a5f6c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42ECA3-1E68-4579-B4FA-2EF037ECF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820CD-3620-4FCF-BFD0-FF1CE9969A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DJZ/ER</dc:creator>
  <cp:keywords/>
  <dc:description/>
  <cp:lastModifiedBy>Vesayt, Marie</cp:lastModifiedBy>
  <cp:revision>8</cp:revision>
  <dcterms:created xsi:type="dcterms:W3CDTF">2022-05-30T07:02:00Z</dcterms:created>
  <dcterms:modified xsi:type="dcterms:W3CDTF">2022-05-30T13:36:00Z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0x01010030EEB82094F19440A7EEE9B7E5820D45</vt:lpwstr>
  </property>
  <property fmtid="{D5CDD505-2E9C-101B-9397-08002B2CF9AE}" pid="3" name="BZ_Forum">
    <vt:lpwstr>3;#Not applicable|0049e722-bfb1-4a3f-9d08-af7366a9af40</vt:lpwstr>
  </property>
  <property fmtid="{D5CDD505-2E9C-101B-9397-08002B2CF9AE}" pid="4" name="BZ_Country">
    <vt:lpwstr>2;#The Netherlands|7f69a7bb-478c-499d-a6cf-5869916dfee4</vt:lpwstr>
  </property>
  <property fmtid="{D5CDD505-2E9C-101B-9397-08002B2CF9AE}" pid="5" name="BZ_Theme">
    <vt:lpwstr>1;#Not applicable|ec01d90b-9d0f-4785-8785-e1ea615196bf</vt:lpwstr>
  </property>
  <property fmtid="{D5CDD505-2E9C-101B-9397-08002B2CF9AE}" pid="6" name="BZ_Classification">
    <vt:lpwstr>4;#UNCLASSIFIED|d92c6340-bc14-4cb2-a9a6-6deda93c493b;#26;#No marking|879e64ec-6597-483b-94db-f5f70afd7299</vt:lpwstr>
  </property>
  <property fmtid="{D5CDD505-2E9C-101B-9397-08002B2CF9AE}" pid="7" name="IsMyDocuments">
    <vt:bool>true</vt:bool>
  </property>
</Properties>
</file>