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RDefault="00645BA0" w:rsidP="00483F56">
      <w:pPr>
        <w:jc w:val="both"/>
        <w:rPr>
          <w:b/>
          <w:sz w:val="28"/>
          <w:szCs w:val="28"/>
          <w:lang w:val="nl-NL"/>
        </w:rPr>
      </w:pPr>
      <w:r>
        <w:rPr>
          <w:b/>
          <w:sz w:val="28"/>
          <w:szCs w:val="28"/>
          <w:lang w:val="nl-NL"/>
        </w:rPr>
        <w:t xml:space="preserve">Factoren voor het beoordelen van deelname door Nederland in zaken </w:t>
      </w:r>
      <w:r w:rsidRPr="00645BA0">
        <w:rPr>
          <w:b/>
          <w:sz w:val="28"/>
          <w:szCs w:val="28"/>
          <w:lang w:val="nl-NL"/>
        </w:rPr>
        <w:t>bij het Hof van Justitie van de Europese Unie</w:t>
      </w:r>
    </w:p>
    <w:p w:rsidR="00F23DF2" w:rsidRDefault="00F23DF2" w:rsidP="00483F56">
      <w:pPr>
        <w:jc w:val="both"/>
        <w:rPr>
          <w:b/>
          <w:sz w:val="28"/>
          <w:szCs w:val="28"/>
          <w:lang w:val="nl-NL"/>
        </w:rPr>
      </w:pPr>
    </w:p>
    <w:p w:rsidR="00F23DF2" w:rsidRDefault="00F23DF2" w:rsidP="00483F56">
      <w:pPr>
        <w:jc w:val="both"/>
        <w:rPr>
          <w:sz w:val="22"/>
          <w:lang w:val="nl-NL"/>
        </w:rPr>
      </w:pPr>
    </w:p>
    <w:p w:rsidR="00F23DF2" w:rsidRDefault="00F23DF2" w:rsidP="00483F56">
      <w:pPr>
        <w:jc w:val="both"/>
        <w:rPr>
          <w:sz w:val="22"/>
          <w:lang w:val="nl-NL"/>
        </w:rPr>
      </w:pPr>
    </w:p>
    <w:p w:rsidR="00F23DF2" w:rsidRDefault="00F23DF2" w:rsidP="00483F56">
      <w:pPr>
        <w:jc w:val="both"/>
        <w:rPr>
          <w:sz w:val="22"/>
          <w:lang w:val="nl-NL"/>
        </w:rPr>
      </w:pPr>
    </w:p>
    <w:p w:rsidR="00F23DF2" w:rsidRDefault="00F23DF2" w:rsidP="00483F56">
      <w:pPr>
        <w:jc w:val="both"/>
        <w:rPr>
          <w:sz w:val="22"/>
          <w:lang w:val="nl-NL"/>
        </w:rPr>
      </w:pPr>
      <w:bookmarkStart w:id="0" w:name="_GoBack"/>
      <w:bookmarkEnd w:id="0"/>
    </w:p>
    <w:p w:rsidR="00F23DF2" w:rsidRDefault="00F23DF2" w:rsidP="00483F56">
      <w:pPr>
        <w:jc w:val="both"/>
        <w:rPr>
          <w:sz w:val="22"/>
          <w:lang w:val="nl-NL"/>
        </w:rPr>
      </w:pPr>
    </w:p>
    <w:p w:rsidR="00F23DF2" w:rsidRDefault="00F23DF2" w:rsidP="00483F56">
      <w:pPr>
        <w:jc w:val="both"/>
        <w:rPr>
          <w:sz w:val="22"/>
          <w:lang w:val="nl-NL"/>
        </w:rPr>
      </w:pPr>
    </w:p>
    <w:p w:rsidR="00F23DF2" w:rsidRDefault="00F23DF2" w:rsidP="00483F56">
      <w:pPr>
        <w:jc w:val="both"/>
        <w:rPr>
          <w:sz w:val="22"/>
          <w:lang w:val="nl-NL"/>
        </w:rPr>
      </w:pPr>
    </w:p>
    <w:p w:rsidR="00F23DF2" w:rsidRDefault="00F23DF2" w:rsidP="00483F56">
      <w:pPr>
        <w:jc w:val="both"/>
        <w:rPr>
          <w:sz w:val="22"/>
          <w:lang w:val="nl-NL"/>
        </w:rPr>
      </w:pPr>
    </w:p>
    <w:p w:rsidR="00F23DF2" w:rsidRDefault="00F23DF2" w:rsidP="00483F56">
      <w:pPr>
        <w:jc w:val="both"/>
        <w:rPr>
          <w:sz w:val="22"/>
          <w:lang w:val="nl-NL"/>
        </w:rPr>
      </w:pPr>
    </w:p>
    <w:p w:rsidR="00F23DF2" w:rsidRDefault="00F23DF2" w:rsidP="00483F56">
      <w:pPr>
        <w:jc w:val="both"/>
        <w:rPr>
          <w:sz w:val="22"/>
          <w:lang w:val="nl-NL"/>
        </w:rPr>
      </w:pPr>
    </w:p>
    <w:p w:rsidR="00F23DF2" w:rsidRDefault="00F23DF2" w:rsidP="00483F56">
      <w:pPr>
        <w:jc w:val="both"/>
        <w:rPr>
          <w:sz w:val="22"/>
          <w:lang w:val="nl-NL"/>
        </w:rPr>
      </w:pPr>
    </w:p>
    <w:p w:rsidR="00F23DF2" w:rsidRDefault="00F23DF2" w:rsidP="00483F56">
      <w:pPr>
        <w:jc w:val="both"/>
        <w:rPr>
          <w:sz w:val="22"/>
          <w:lang w:val="nl-NL"/>
        </w:rPr>
      </w:pPr>
    </w:p>
    <w:p w:rsidR="00F23DF2" w:rsidRDefault="00F23DF2" w:rsidP="00483F56">
      <w:pPr>
        <w:jc w:val="both"/>
        <w:rPr>
          <w:sz w:val="22"/>
          <w:lang w:val="nl-NL"/>
        </w:rPr>
      </w:pPr>
    </w:p>
    <w:p w:rsidR="00F23DF2" w:rsidRDefault="00F23DF2" w:rsidP="00483F56">
      <w:pPr>
        <w:jc w:val="both"/>
        <w:rPr>
          <w:sz w:val="22"/>
          <w:lang w:val="nl-NL"/>
        </w:rPr>
      </w:pPr>
    </w:p>
    <w:p w:rsidR="00F23DF2" w:rsidRDefault="00F23DF2" w:rsidP="00483F56">
      <w:pPr>
        <w:jc w:val="both"/>
        <w:rPr>
          <w:sz w:val="22"/>
          <w:lang w:val="nl-NL"/>
        </w:rPr>
      </w:pPr>
    </w:p>
    <w:p w:rsidR="00F23DF2" w:rsidRDefault="00F23DF2" w:rsidP="00483F56">
      <w:pPr>
        <w:jc w:val="both"/>
        <w:rPr>
          <w:sz w:val="22"/>
          <w:lang w:val="nl-NL"/>
        </w:rPr>
      </w:pPr>
    </w:p>
    <w:p w:rsidR="00F23DF2" w:rsidRDefault="00F23DF2" w:rsidP="00483F56">
      <w:pPr>
        <w:jc w:val="both"/>
        <w:rPr>
          <w:sz w:val="22"/>
          <w:lang w:val="nl-NL"/>
        </w:rPr>
      </w:pPr>
    </w:p>
    <w:p w:rsidR="00F23DF2" w:rsidRDefault="00F23DF2" w:rsidP="00483F56">
      <w:pPr>
        <w:jc w:val="both"/>
        <w:rPr>
          <w:sz w:val="22"/>
          <w:lang w:val="nl-NL"/>
        </w:rPr>
      </w:pPr>
    </w:p>
    <w:p w:rsidR="00F23DF2" w:rsidRDefault="00F23DF2" w:rsidP="00483F56">
      <w:pPr>
        <w:jc w:val="both"/>
        <w:rPr>
          <w:sz w:val="22"/>
          <w:lang w:val="nl-NL"/>
        </w:rPr>
      </w:pPr>
    </w:p>
    <w:p w:rsidR="00F23DF2" w:rsidRDefault="00F23DF2" w:rsidP="00483F56">
      <w:pPr>
        <w:jc w:val="both"/>
        <w:rPr>
          <w:sz w:val="22"/>
          <w:lang w:val="nl-NL"/>
        </w:rPr>
      </w:pPr>
    </w:p>
    <w:p w:rsidR="00F23DF2" w:rsidRDefault="00F23DF2" w:rsidP="00483F56">
      <w:pPr>
        <w:jc w:val="both"/>
        <w:rPr>
          <w:sz w:val="22"/>
          <w:lang w:val="nl-NL"/>
        </w:rPr>
      </w:pPr>
    </w:p>
    <w:p w:rsidR="00F23DF2" w:rsidRDefault="00953F50" w:rsidP="00483F56">
      <w:pPr>
        <w:jc w:val="both"/>
        <w:rPr>
          <w:sz w:val="22"/>
          <w:lang w:val="nl-NL"/>
        </w:rPr>
      </w:pPr>
      <w:r>
        <w:rPr>
          <w:sz w:val="22"/>
          <w:lang w:val="nl-NL"/>
        </w:rPr>
        <w:t>Een h</w:t>
      </w:r>
      <w:r w:rsidR="00B65044">
        <w:rPr>
          <w:sz w:val="22"/>
          <w:lang w:val="nl-NL"/>
        </w:rPr>
        <w:t>andleiding opgesteld door</w:t>
      </w:r>
      <w:r w:rsidR="00F23DF2">
        <w:rPr>
          <w:sz w:val="22"/>
          <w:lang w:val="nl-NL"/>
        </w:rPr>
        <w:t xml:space="preserve"> de</w:t>
      </w:r>
      <w:r w:rsidR="00F23DF2" w:rsidRPr="00F23DF2">
        <w:rPr>
          <w:sz w:val="22"/>
          <w:lang w:val="nl-NL"/>
        </w:rPr>
        <w:t xml:space="preserve"> Interdepartementale Commissie Europees Recht (ICER)</w:t>
      </w:r>
    </w:p>
    <w:p w:rsidR="00F23DF2" w:rsidRDefault="00F23DF2" w:rsidP="00483F56">
      <w:pPr>
        <w:jc w:val="both"/>
        <w:rPr>
          <w:b/>
          <w:sz w:val="22"/>
          <w:lang w:val="nl-NL"/>
        </w:rPr>
      </w:pPr>
      <w:r>
        <w:rPr>
          <w:sz w:val="22"/>
          <w:lang w:val="nl-NL"/>
        </w:rPr>
        <w:t>201</w:t>
      </w:r>
      <w:r w:rsidR="00645BA0">
        <w:rPr>
          <w:sz w:val="22"/>
          <w:lang w:val="nl-NL"/>
        </w:rPr>
        <w:t>3</w:t>
      </w:r>
      <w:r>
        <w:rPr>
          <w:b/>
          <w:sz w:val="22"/>
          <w:lang w:val="nl-NL"/>
        </w:rPr>
        <w:br w:type="page"/>
      </w:r>
    </w:p>
    <w:p w:rsidR="00F23DF2" w:rsidRDefault="00F23DF2" w:rsidP="00AF606F">
      <w:pPr>
        <w:jc w:val="center"/>
        <w:rPr>
          <w:b/>
          <w:sz w:val="22"/>
          <w:lang w:val="nl-NL"/>
        </w:rPr>
      </w:pPr>
      <w:r>
        <w:rPr>
          <w:b/>
          <w:sz w:val="22"/>
          <w:lang w:val="nl-NL"/>
        </w:rPr>
        <w:lastRenderedPageBreak/>
        <w:t>Inhoudsopgave</w:t>
      </w:r>
    </w:p>
    <w:p w:rsidR="00B65044" w:rsidRDefault="00B65044" w:rsidP="00483F56">
      <w:pPr>
        <w:jc w:val="both"/>
        <w:rPr>
          <w:b/>
          <w:sz w:val="22"/>
          <w:lang w:val="nl-NL"/>
        </w:rPr>
      </w:pPr>
    </w:p>
    <w:p w:rsidR="00F23DF2" w:rsidRPr="00F465CB" w:rsidRDefault="00BD477C" w:rsidP="00483F56">
      <w:pPr>
        <w:spacing w:line="720" w:lineRule="auto"/>
        <w:ind w:left="360"/>
        <w:jc w:val="both"/>
        <w:rPr>
          <w:b/>
          <w:sz w:val="22"/>
          <w:lang w:val="nl-NL"/>
        </w:rPr>
      </w:pPr>
      <w:r>
        <w:rPr>
          <w:sz w:val="22"/>
          <w:lang w:val="nl-NL"/>
        </w:rPr>
        <w:tab/>
      </w:r>
      <w:r w:rsidR="00E81C2D">
        <w:rPr>
          <w:sz w:val="22"/>
          <w:lang w:val="nl-NL"/>
        </w:rPr>
        <w:tab/>
      </w:r>
      <w:r w:rsidR="00F23DF2" w:rsidRPr="00F465CB">
        <w:rPr>
          <w:b/>
          <w:sz w:val="22"/>
          <w:lang w:val="nl-NL"/>
        </w:rPr>
        <w:t>Inleiding</w:t>
      </w:r>
      <w:r w:rsidR="00B61DAD" w:rsidRPr="00F465CB">
        <w:rPr>
          <w:b/>
          <w:sz w:val="22"/>
          <w:lang w:val="nl-NL"/>
        </w:rPr>
        <w:tab/>
      </w:r>
      <w:r w:rsidR="00B61DAD" w:rsidRPr="00F465CB">
        <w:rPr>
          <w:b/>
          <w:sz w:val="22"/>
          <w:lang w:val="nl-NL"/>
        </w:rPr>
        <w:tab/>
      </w:r>
      <w:r w:rsidR="00B61DAD" w:rsidRPr="00F465CB">
        <w:rPr>
          <w:b/>
          <w:sz w:val="22"/>
          <w:lang w:val="nl-NL"/>
        </w:rPr>
        <w:tab/>
      </w:r>
      <w:r w:rsidR="00B61DAD" w:rsidRPr="00F465CB">
        <w:rPr>
          <w:b/>
          <w:sz w:val="22"/>
          <w:lang w:val="nl-NL"/>
        </w:rPr>
        <w:tab/>
      </w:r>
      <w:r w:rsidR="00B61DAD" w:rsidRPr="00F465CB">
        <w:rPr>
          <w:b/>
          <w:sz w:val="22"/>
          <w:lang w:val="nl-NL"/>
        </w:rPr>
        <w:tab/>
      </w:r>
      <w:r w:rsidR="00B61DAD" w:rsidRPr="00F465CB">
        <w:rPr>
          <w:b/>
          <w:sz w:val="22"/>
          <w:lang w:val="nl-NL"/>
        </w:rPr>
        <w:tab/>
      </w:r>
      <w:r w:rsidR="00B61DAD" w:rsidRPr="00F465CB">
        <w:rPr>
          <w:b/>
          <w:sz w:val="22"/>
          <w:lang w:val="nl-NL"/>
        </w:rPr>
        <w:tab/>
      </w:r>
      <w:r w:rsidR="00B61DAD" w:rsidRPr="00F465CB">
        <w:rPr>
          <w:b/>
          <w:sz w:val="22"/>
          <w:lang w:val="nl-NL"/>
        </w:rPr>
        <w:tab/>
      </w:r>
    </w:p>
    <w:p w:rsidR="00BD477C" w:rsidRPr="00E81C2D" w:rsidRDefault="00AF606F" w:rsidP="00AF606F">
      <w:pPr>
        <w:pStyle w:val="ListParagraph"/>
        <w:numPr>
          <w:ilvl w:val="0"/>
          <w:numId w:val="18"/>
        </w:numPr>
        <w:spacing w:line="360" w:lineRule="auto"/>
        <w:jc w:val="both"/>
        <w:rPr>
          <w:b/>
          <w:sz w:val="22"/>
          <w:lang w:val="nl-NL"/>
        </w:rPr>
      </w:pPr>
      <w:r>
        <w:rPr>
          <w:b/>
          <w:sz w:val="22"/>
          <w:lang w:val="nl-NL"/>
        </w:rPr>
        <w:t>V</w:t>
      </w:r>
      <w:r w:rsidRPr="00AF606F">
        <w:rPr>
          <w:b/>
          <w:sz w:val="22"/>
          <w:lang w:val="nl-NL"/>
        </w:rPr>
        <w:t xml:space="preserve">aststelling van het belang bij deelname aan een prejudiciële zaak </w:t>
      </w:r>
    </w:p>
    <w:p w:rsidR="00BD477C" w:rsidRPr="00E81C2D" w:rsidRDefault="00F23DF2" w:rsidP="00483F56">
      <w:pPr>
        <w:pStyle w:val="Heading2"/>
        <w:jc w:val="both"/>
        <w:rPr>
          <w:rFonts w:ascii="Verdana" w:hAnsi="Verdana"/>
          <w:color w:val="auto"/>
          <w:sz w:val="22"/>
          <w:szCs w:val="22"/>
          <w:lang w:val="nl-NL"/>
        </w:rPr>
      </w:pPr>
      <w:r w:rsidRPr="00E81C2D">
        <w:rPr>
          <w:rFonts w:ascii="Verdana" w:hAnsi="Verdana"/>
          <w:color w:val="auto"/>
          <w:sz w:val="22"/>
          <w:szCs w:val="22"/>
          <w:lang w:val="nl-NL"/>
        </w:rPr>
        <w:t>Het</w:t>
      </w:r>
      <w:r w:rsidR="00BD477C" w:rsidRPr="00E81C2D">
        <w:rPr>
          <w:rFonts w:ascii="Verdana" w:hAnsi="Verdana"/>
          <w:color w:val="auto"/>
          <w:sz w:val="22"/>
          <w:szCs w:val="22"/>
          <w:lang w:val="nl-NL"/>
        </w:rPr>
        <w:t xml:space="preserve"> </w:t>
      </w:r>
      <w:r w:rsidRPr="00E81C2D">
        <w:rPr>
          <w:rFonts w:ascii="Verdana" w:hAnsi="Verdana"/>
          <w:color w:val="auto"/>
          <w:sz w:val="22"/>
          <w:szCs w:val="22"/>
          <w:lang w:val="nl-NL"/>
        </w:rPr>
        <w:t>belang</w:t>
      </w:r>
      <w:r w:rsidR="00B65044" w:rsidRPr="00E81C2D">
        <w:rPr>
          <w:rFonts w:ascii="Verdana" w:hAnsi="Verdana"/>
          <w:color w:val="auto"/>
          <w:sz w:val="22"/>
          <w:szCs w:val="22"/>
          <w:lang w:val="nl-NL"/>
        </w:rPr>
        <w:t xml:space="preserve"> </w:t>
      </w:r>
      <w:r w:rsidR="00BD477C" w:rsidRPr="00E81C2D">
        <w:rPr>
          <w:rFonts w:ascii="Verdana" w:hAnsi="Verdana"/>
          <w:color w:val="auto"/>
          <w:sz w:val="22"/>
          <w:szCs w:val="22"/>
          <w:lang w:val="nl-NL"/>
        </w:rPr>
        <w:t>in de schriftelijke fase</w:t>
      </w:r>
      <w:r w:rsidR="00B65044" w:rsidRPr="00E81C2D">
        <w:rPr>
          <w:rFonts w:ascii="Verdana" w:hAnsi="Verdana"/>
          <w:color w:val="auto"/>
          <w:sz w:val="22"/>
          <w:szCs w:val="22"/>
          <w:lang w:val="nl-NL"/>
        </w:rPr>
        <w:t xml:space="preserve"> </w:t>
      </w:r>
    </w:p>
    <w:p w:rsidR="00E81C2D" w:rsidRPr="00E81C2D" w:rsidRDefault="00E81C2D" w:rsidP="00483F56">
      <w:pPr>
        <w:jc w:val="both"/>
        <w:rPr>
          <w:lang w:val="nl-NL"/>
        </w:rPr>
      </w:pPr>
    </w:p>
    <w:p w:rsidR="00E81C2D" w:rsidRPr="00E81C2D" w:rsidRDefault="005D479F" w:rsidP="00AF606F">
      <w:pPr>
        <w:pStyle w:val="ListParagraph"/>
        <w:numPr>
          <w:ilvl w:val="1"/>
          <w:numId w:val="20"/>
        </w:numPr>
        <w:spacing w:line="360" w:lineRule="auto"/>
        <w:rPr>
          <w:i/>
          <w:sz w:val="22"/>
          <w:lang w:val="nl-NL"/>
        </w:rPr>
      </w:pPr>
      <w:r w:rsidRPr="00E81C2D">
        <w:rPr>
          <w:i/>
          <w:sz w:val="22"/>
          <w:lang w:val="nl-NL"/>
        </w:rPr>
        <w:t>De prejudiciële vraag is afkomstig van een Nederlandse rechter</w:t>
      </w:r>
    </w:p>
    <w:p w:rsidR="00E81C2D" w:rsidRPr="00E81C2D" w:rsidRDefault="005D479F" w:rsidP="00AF606F">
      <w:pPr>
        <w:pStyle w:val="ListParagraph"/>
        <w:numPr>
          <w:ilvl w:val="1"/>
          <w:numId w:val="20"/>
        </w:numPr>
        <w:spacing w:line="360" w:lineRule="auto"/>
        <w:rPr>
          <w:i/>
          <w:sz w:val="22"/>
          <w:lang w:val="nl-NL"/>
        </w:rPr>
      </w:pPr>
      <w:r w:rsidRPr="00E81C2D">
        <w:rPr>
          <w:i/>
          <w:sz w:val="22"/>
          <w:lang w:val="nl-NL"/>
        </w:rPr>
        <w:t>De uitspraak van het Hof kan leiden tot aanpassingen van Nederlandse wet- of regelgeving</w:t>
      </w:r>
    </w:p>
    <w:p w:rsidR="00E81C2D" w:rsidRPr="00E81C2D" w:rsidRDefault="005D479F" w:rsidP="00AF606F">
      <w:pPr>
        <w:pStyle w:val="ListParagraph"/>
        <w:numPr>
          <w:ilvl w:val="1"/>
          <w:numId w:val="20"/>
        </w:numPr>
        <w:spacing w:line="360" w:lineRule="auto"/>
        <w:rPr>
          <w:i/>
          <w:sz w:val="22"/>
          <w:lang w:val="nl-NL"/>
        </w:rPr>
      </w:pPr>
      <w:r w:rsidRPr="00E81C2D">
        <w:rPr>
          <w:i/>
          <w:sz w:val="22"/>
          <w:lang w:val="nl-NL"/>
        </w:rPr>
        <w:t>De uitspraak kan Nederland verplichten tot wijziging van beleid of uitvoeringspraktijk</w:t>
      </w:r>
    </w:p>
    <w:p w:rsidR="00E81C2D" w:rsidRPr="00E81C2D" w:rsidRDefault="005D479F" w:rsidP="00AF606F">
      <w:pPr>
        <w:pStyle w:val="ListParagraph"/>
        <w:numPr>
          <w:ilvl w:val="1"/>
          <w:numId w:val="20"/>
        </w:numPr>
        <w:spacing w:line="360" w:lineRule="auto"/>
        <w:rPr>
          <w:i/>
          <w:sz w:val="22"/>
          <w:lang w:val="nl-NL"/>
        </w:rPr>
      </w:pPr>
      <w:r w:rsidRPr="00E81C2D">
        <w:rPr>
          <w:i/>
          <w:sz w:val="22"/>
          <w:lang w:val="nl-NL"/>
        </w:rPr>
        <w:t>Voorgenomen beleid of regelgeving kan worden geraakt door de uitspraak</w:t>
      </w:r>
    </w:p>
    <w:p w:rsidR="00E81C2D" w:rsidRPr="00E81C2D" w:rsidRDefault="00E733DA" w:rsidP="00AF606F">
      <w:pPr>
        <w:pStyle w:val="ListParagraph"/>
        <w:numPr>
          <w:ilvl w:val="1"/>
          <w:numId w:val="20"/>
        </w:numPr>
        <w:spacing w:line="360" w:lineRule="auto"/>
        <w:rPr>
          <w:i/>
          <w:sz w:val="22"/>
          <w:lang w:val="nl-NL"/>
        </w:rPr>
      </w:pPr>
      <w:r w:rsidRPr="00E81C2D">
        <w:rPr>
          <w:i/>
          <w:sz w:val="22"/>
          <w:lang w:val="nl-NL"/>
        </w:rPr>
        <w:t>De uitspraak kan de beleidsvrijheid inperken op voor Nederland gevoelige beleidsterreinen</w:t>
      </w:r>
    </w:p>
    <w:p w:rsidR="00E81C2D" w:rsidRPr="00E81C2D" w:rsidRDefault="00E733DA" w:rsidP="00AF606F">
      <w:pPr>
        <w:pStyle w:val="ListParagraph"/>
        <w:numPr>
          <w:ilvl w:val="1"/>
          <w:numId w:val="20"/>
        </w:numPr>
        <w:spacing w:line="360" w:lineRule="auto"/>
        <w:rPr>
          <w:i/>
          <w:sz w:val="22"/>
          <w:lang w:val="nl-NL"/>
        </w:rPr>
      </w:pPr>
      <w:r w:rsidRPr="00E81C2D">
        <w:rPr>
          <w:i/>
          <w:sz w:val="22"/>
          <w:lang w:val="nl-NL"/>
        </w:rPr>
        <w:t>Politiek belang van het betrokken beleidsterrein</w:t>
      </w:r>
    </w:p>
    <w:p w:rsidR="00E81C2D" w:rsidRPr="00E81C2D" w:rsidRDefault="00E733DA" w:rsidP="00AF606F">
      <w:pPr>
        <w:pStyle w:val="ListParagraph"/>
        <w:numPr>
          <w:ilvl w:val="1"/>
          <w:numId w:val="20"/>
        </w:numPr>
        <w:spacing w:line="360" w:lineRule="auto"/>
        <w:rPr>
          <w:i/>
          <w:sz w:val="22"/>
          <w:lang w:val="nl-NL"/>
        </w:rPr>
      </w:pPr>
      <w:r w:rsidRPr="00E81C2D">
        <w:rPr>
          <w:i/>
          <w:sz w:val="22"/>
          <w:lang w:val="nl-NL"/>
        </w:rPr>
        <w:t>De zaak betreft een horizontaal vraagstuk</w:t>
      </w:r>
    </w:p>
    <w:p w:rsidR="00E81C2D" w:rsidRPr="00E81C2D" w:rsidRDefault="00E733DA" w:rsidP="00AF606F">
      <w:pPr>
        <w:pStyle w:val="ListParagraph"/>
        <w:numPr>
          <w:ilvl w:val="1"/>
          <w:numId w:val="20"/>
        </w:numPr>
        <w:spacing w:line="360" w:lineRule="auto"/>
        <w:rPr>
          <w:i/>
          <w:sz w:val="22"/>
          <w:lang w:val="nl-NL"/>
        </w:rPr>
      </w:pPr>
      <w:r w:rsidRPr="00E81C2D">
        <w:rPr>
          <w:i/>
          <w:sz w:val="22"/>
          <w:lang w:val="nl-NL"/>
        </w:rPr>
        <w:t xml:space="preserve">Bijdrage aan de ontwikkeling van het Europees recht </w:t>
      </w:r>
    </w:p>
    <w:p w:rsidR="00E81C2D" w:rsidRPr="00E81C2D" w:rsidRDefault="00220806" w:rsidP="00AF606F">
      <w:pPr>
        <w:pStyle w:val="ListParagraph"/>
        <w:numPr>
          <w:ilvl w:val="1"/>
          <w:numId w:val="20"/>
        </w:numPr>
        <w:spacing w:line="360" w:lineRule="auto"/>
        <w:rPr>
          <w:i/>
          <w:sz w:val="22"/>
          <w:lang w:val="nl-NL"/>
        </w:rPr>
      </w:pPr>
      <w:r w:rsidRPr="00E81C2D">
        <w:rPr>
          <w:i/>
          <w:sz w:val="22"/>
          <w:lang w:val="nl-NL"/>
        </w:rPr>
        <w:t>Bevorderen diplomatieke betrekkingen</w:t>
      </w:r>
    </w:p>
    <w:p w:rsidR="00220806" w:rsidRPr="00E81C2D" w:rsidRDefault="00220806" w:rsidP="00AF606F">
      <w:pPr>
        <w:pStyle w:val="ListParagraph"/>
        <w:numPr>
          <w:ilvl w:val="1"/>
          <w:numId w:val="20"/>
        </w:numPr>
        <w:spacing w:line="360" w:lineRule="auto"/>
        <w:rPr>
          <w:sz w:val="22"/>
          <w:lang w:val="nl-NL"/>
        </w:rPr>
      </w:pPr>
      <w:r w:rsidRPr="00E81C2D">
        <w:rPr>
          <w:i/>
          <w:sz w:val="22"/>
          <w:lang w:val="nl-NL"/>
        </w:rPr>
        <w:t>Kosten die kunnen voortvloeien uit een uitspraak</w:t>
      </w:r>
    </w:p>
    <w:p w:rsidR="00F23DF2" w:rsidRDefault="00BD477C" w:rsidP="00483F56">
      <w:pPr>
        <w:pStyle w:val="Heading2"/>
        <w:jc w:val="both"/>
        <w:rPr>
          <w:rFonts w:ascii="Verdana" w:hAnsi="Verdana"/>
          <w:color w:val="auto"/>
          <w:sz w:val="22"/>
          <w:szCs w:val="22"/>
          <w:lang w:val="nl-NL"/>
        </w:rPr>
      </w:pPr>
      <w:r w:rsidRPr="00F465CB">
        <w:rPr>
          <w:rFonts w:ascii="Verdana" w:hAnsi="Verdana"/>
          <w:color w:val="auto"/>
          <w:sz w:val="22"/>
          <w:szCs w:val="22"/>
          <w:lang w:val="nl-NL"/>
        </w:rPr>
        <w:t>Het belang in de mondelinge fase</w:t>
      </w:r>
    </w:p>
    <w:p w:rsidR="005D479F" w:rsidRDefault="00E81C2D" w:rsidP="00483F56">
      <w:pPr>
        <w:pStyle w:val="ListParagraph"/>
        <w:jc w:val="both"/>
        <w:rPr>
          <w:sz w:val="22"/>
          <w:lang w:val="nl-NL"/>
        </w:rPr>
      </w:pPr>
      <w:r>
        <w:rPr>
          <w:sz w:val="22"/>
          <w:lang w:val="nl-NL"/>
        </w:rPr>
        <w:tab/>
      </w:r>
      <w:proofErr w:type="gramStart"/>
      <w:r w:rsidR="00AF606F">
        <w:rPr>
          <w:sz w:val="22"/>
          <w:lang w:val="nl-NL"/>
        </w:rPr>
        <w:t>a</w:t>
      </w:r>
      <w:proofErr w:type="gramEnd"/>
      <w:r>
        <w:rPr>
          <w:sz w:val="22"/>
          <w:lang w:val="nl-NL"/>
        </w:rPr>
        <w:t>.</w:t>
      </w:r>
      <w:r w:rsidR="00074BDA">
        <w:rPr>
          <w:sz w:val="22"/>
          <w:lang w:val="nl-NL"/>
        </w:rPr>
        <w:t xml:space="preserve"> </w:t>
      </w:r>
      <w:r w:rsidR="005D479F">
        <w:rPr>
          <w:sz w:val="22"/>
          <w:lang w:val="nl-NL"/>
        </w:rPr>
        <w:t>Aanvraag</w:t>
      </w:r>
    </w:p>
    <w:p w:rsidR="005D479F" w:rsidRDefault="00E81C2D" w:rsidP="00483F56">
      <w:pPr>
        <w:pStyle w:val="ListParagraph"/>
        <w:jc w:val="both"/>
        <w:rPr>
          <w:sz w:val="22"/>
          <w:lang w:val="nl-NL"/>
        </w:rPr>
      </w:pPr>
      <w:r>
        <w:rPr>
          <w:sz w:val="22"/>
          <w:lang w:val="nl-NL"/>
        </w:rPr>
        <w:tab/>
      </w:r>
      <w:r w:rsidR="00074BDA">
        <w:rPr>
          <w:sz w:val="22"/>
          <w:lang w:val="nl-NL"/>
        </w:rPr>
        <w:t>b. Deelname</w:t>
      </w:r>
    </w:p>
    <w:p w:rsidR="005D479F" w:rsidRDefault="005D479F" w:rsidP="00483F56">
      <w:pPr>
        <w:pStyle w:val="ListParagraph"/>
        <w:jc w:val="both"/>
        <w:rPr>
          <w:sz w:val="22"/>
          <w:lang w:val="nl-NL"/>
        </w:rPr>
      </w:pPr>
    </w:p>
    <w:p w:rsidR="00B65044" w:rsidRDefault="00220806" w:rsidP="00483F56">
      <w:pPr>
        <w:pStyle w:val="ListParagraph"/>
        <w:numPr>
          <w:ilvl w:val="0"/>
          <w:numId w:val="18"/>
        </w:numPr>
        <w:spacing w:line="360" w:lineRule="auto"/>
        <w:jc w:val="both"/>
        <w:rPr>
          <w:b/>
          <w:sz w:val="22"/>
          <w:lang w:val="nl-NL"/>
        </w:rPr>
      </w:pPr>
      <w:r w:rsidRPr="00F465CB">
        <w:rPr>
          <w:b/>
          <w:sz w:val="22"/>
          <w:lang w:val="nl-NL"/>
        </w:rPr>
        <w:t>Het belang bij deelname aan d</w:t>
      </w:r>
      <w:r w:rsidR="00B01805" w:rsidRPr="00F465CB">
        <w:rPr>
          <w:b/>
          <w:sz w:val="22"/>
          <w:lang w:val="nl-NL"/>
        </w:rPr>
        <w:t>irecte zaken en o</w:t>
      </w:r>
      <w:r w:rsidR="00B65044" w:rsidRPr="00F465CB">
        <w:rPr>
          <w:b/>
          <w:sz w:val="22"/>
          <w:lang w:val="nl-NL"/>
        </w:rPr>
        <w:t>verige</w:t>
      </w:r>
      <w:r w:rsidR="00F465CB">
        <w:rPr>
          <w:b/>
          <w:sz w:val="22"/>
          <w:lang w:val="nl-NL"/>
        </w:rPr>
        <w:t xml:space="preserve"> </w:t>
      </w:r>
      <w:r w:rsidR="00B65044" w:rsidRPr="00CF4CED">
        <w:rPr>
          <w:b/>
          <w:sz w:val="22"/>
          <w:lang w:val="nl-NL"/>
        </w:rPr>
        <w:t>procedures</w:t>
      </w:r>
    </w:p>
    <w:p w:rsidR="002A1EE2" w:rsidRPr="00A778D3" w:rsidRDefault="002A1EE2" w:rsidP="00483F56">
      <w:pPr>
        <w:pStyle w:val="ListParagraph"/>
        <w:numPr>
          <w:ilvl w:val="0"/>
          <w:numId w:val="18"/>
        </w:numPr>
        <w:jc w:val="both"/>
        <w:rPr>
          <w:b/>
          <w:sz w:val="22"/>
          <w:lang w:val="nl-NL"/>
        </w:rPr>
      </w:pPr>
      <w:r w:rsidRPr="00A778D3">
        <w:rPr>
          <w:b/>
          <w:sz w:val="22"/>
          <w:lang w:val="nl-NL"/>
        </w:rPr>
        <w:t xml:space="preserve">Procedure en werkwijze </w:t>
      </w:r>
    </w:p>
    <w:p w:rsidR="00314333" w:rsidRDefault="00314333" w:rsidP="00483F56">
      <w:pPr>
        <w:jc w:val="both"/>
        <w:rPr>
          <w:b/>
          <w:sz w:val="22"/>
          <w:lang w:val="nl-NL"/>
        </w:rPr>
      </w:pPr>
      <w:r>
        <w:rPr>
          <w:b/>
          <w:sz w:val="22"/>
          <w:lang w:val="nl-NL"/>
        </w:rPr>
        <w:br w:type="page"/>
      </w:r>
    </w:p>
    <w:p w:rsidR="00B65044" w:rsidRPr="00A842D8" w:rsidRDefault="00CF4CED" w:rsidP="00483F56">
      <w:pPr>
        <w:jc w:val="both"/>
        <w:rPr>
          <w:b/>
          <w:sz w:val="22"/>
          <w:lang w:val="nl-NL"/>
        </w:rPr>
      </w:pPr>
      <w:r>
        <w:rPr>
          <w:b/>
          <w:sz w:val="22"/>
          <w:lang w:val="nl-NL"/>
        </w:rPr>
        <w:lastRenderedPageBreak/>
        <w:tab/>
      </w:r>
      <w:r w:rsidR="00B65044" w:rsidRPr="00A842D8">
        <w:rPr>
          <w:b/>
          <w:sz w:val="22"/>
          <w:lang w:val="nl-NL"/>
        </w:rPr>
        <w:t>Inleiding</w:t>
      </w:r>
    </w:p>
    <w:p w:rsidR="00EB311B" w:rsidRDefault="00EB311B" w:rsidP="00483F56">
      <w:pPr>
        <w:pStyle w:val="ListParagraph"/>
        <w:jc w:val="both"/>
        <w:rPr>
          <w:sz w:val="22"/>
          <w:lang w:val="nl-NL"/>
        </w:rPr>
      </w:pPr>
    </w:p>
    <w:p w:rsidR="00F647FE" w:rsidRDefault="00CF4CED" w:rsidP="00483F56">
      <w:pPr>
        <w:pStyle w:val="ListParagraph"/>
        <w:jc w:val="both"/>
        <w:rPr>
          <w:sz w:val="22"/>
          <w:lang w:val="nl-NL"/>
        </w:rPr>
      </w:pPr>
      <w:r>
        <w:rPr>
          <w:sz w:val="22"/>
          <w:lang w:val="nl-NL"/>
        </w:rPr>
        <w:t xml:space="preserve">Dit stuk is een </w:t>
      </w:r>
      <w:r w:rsidRPr="00CF4CED">
        <w:rPr>
          <w:sz w:val="22"/>
          <w:lang w:val="nl-NL"/>
        </w:rPr>
        <w:t xml:space="preserve">handleiding om </w:t>
      </w:r>
      <w:r>
        <w:rPr>
          <w:sz w:val="22"/>
          <w:lang w:val="nl-NL"/>
        </w:rPr>
        <w:t>te</w:t>
      </w:r>
      <w:r w:rsidR="00673B6B">
        <w:rPr>
          <w:sz w:val="22"/>
          <w:lang w:val="nl-NL"/>
        </w:rPr>
        <w:t xml:space="preserve"> bepalen of Nederland moet deel</w:t>
      </w:r>
      <w:r>
        <w:rPr>
          <w:sz w:val="22"/>
          <w:lang w:val="nl-NL"/>
        </w:rPr>
        <w:t xml:space="preserve">nemen aan </w:t>
      </w:r>
      <w:r w:rsidRPr="00CF4CED">
        <w:rPr>
          <w:sz w:val="22"/>
          <w:lang w:val="nl-NL"/>
        </w:rPr>
        <w:t>zaken die aanhangig zijn bij het Hof van Justitie</w:t>
      </w:r>
      <w:r w:rsidR="00673B6B">
        <w:rPr>
          <w:sz w:val="22"/>
          <w:lang w:val="nl-NL"/>
        </w:rPr>
        <w:t xml:space="preserve"> (het EU-Hof)</w:t>
      </w:r>
      <w:r w:rsidRPr="00CF4CED">
        <w:rPr>
          <w:sz w:val="22"/>
          <w:lang w:val="nl-NL"/>
        </w:rPr>
        <w:t>.</w:t>
      </w:r>
      <w:r w:rsidR="00673B6B">
        <w:rPr>
          <w:sz w:val="22"/>
          <w:lang w:val="nl-NL"/>
        </w:rPr>
        <w:t xml:space="preserve"> </w:t>
      </w:r>
      <w:r w:rsidR="00ED55B9" w:rsidRPr="00ED55B9">
        <w:rPr>
          <w:sz w:val="22"/>
          <w:lang w:val="nl-NL"/>
        </w:rPr>
        <w:t xml:space="preserve">De rechtspraak van </w:t>
      </w:r>
      <w:r w:rsidR="00D60A6A">
        <w:rPr>
          <w:sz w:val="22"/>
          <w:lang w:val="nl-NL"/>
        </w:rPr>
        <w:t>het EU-Hof</w:t>
      </w:r>
      <w:r w:rsidR="00BA3919">
        <w:rPr>
          <w:sz w:val="22"/>
          <w:lang w:val="nl-NL"/>
        </w:rPr>
        <w:t xml:space="preserve"> </w:t>
      </w:r>
      <w:r w:rsidR="007A6629">
        <w:rPr>
          <w:sz w:val="22"/>
          <w:lang w:val="nl-NL"/>
        </w:rPr>
        <w:t xml:space="preserve">in Luxemburg </w:t>
      </w:r>
      <w:r w:rsidR="00ED55B9" w:rsidRPr="00ED55B9">
        <w:rPr>
          <w:sz w:val="22"/>
          <w:lang w:val="nl-NL"/>
        </w:rPr>
        <w:t>is essentieel voor Nederland</w:t>
      </w:r>
      <w:r w:rsidR="00723058">
        <w:rPr>
          <w:sz w:val="22"/>
          <w:lang w:val="nl-NL"/>
        </w:rPr>
        <w:t xml:space="preserve">. </w:t>
      </w:r>
      <w:r>
        <w:rPr>
          <w:sz w:val="22"/>
          <w:lang w:val="nl-NL"/>
        </w:rPr>
        <w:t>Zijn</w:t>
      </w:r>
      <w:r w:rsidR="00ED55B9" w:rsidRPr="00ED55B9">
        <w:rPr>
          <w:sz w:val="22"/>
          <w:lang w:val="nl-NL"/>
        </w:rPr>
        <w:t xml:space="preserve"> uitspraken dragen bij aan de rechtsontwikkeling binnen de Europese Unie en kunnen van invloed zijn op het Nederlandse recht en beleid. Europese jurisprudentie dwingt soms </w:t>
      </w:r>
      <w:r w:rsidR="00732CFE">
        <w:rPr>
          <w:sz w:val="22"/>
          <w:lang w:val="nl-NL"/>
        </w:rPr>
        <w:t xml:space="preserve">ook </w:t>
      </w:r>
      <w:r w:rsidR="00ED55B9" w:rsidRPr="00ED55B9">
        <w:rPr>
          <w:sz w:val="22"/>
          <w:lang w:val="nl-NL"/>
        </w:rPr>
        <w:t xml:space="preserve">tot aanpassing van de nationale regelgeving of uitvoeringspraktijk. </w:t>
      </w:r>
      <w:r w:rsidR="00F647FE">
        <w:rPr>
          <w:sz w:val="22"/>
          <w:lang w:val="nl-NL"/>
        </w:rPr>
        <w:t xml:space="preserve">De </w:t>
      </w:r>
      <w:r w:rsidR="00ED55B9" w:rsidRPr="00ED55B9">
        <w:rPr>
          <w:sz w:val="22"/>
          <w:lang w:val="nl-NL"/>
        </w:rPr>
        <w:t>Nederland</w:t>
      </w:r>
      <w:r w:rsidR="00F647FE">
        <w:rPr>
          <w:sz w:val="22"/>
          <w:lang w:val="nl-NL"/>
        </w:rPr>
        <w:t>se regering</w:t>
      </w:r>
      <w:r w:rsidR="00ED55B9" w:rsidRPr="00ED55B9">
        <w:rPr>
          <w:sz w:val="22"/>
          <w:lang w:val="nl-NL"/>
        </w:rPr>
        <w:t xml:space="preserve"> </w:t>
      </w:r>
      <w:r w:rsidR="00F647FE">
        <w:rPr>
          <w:sz w:val="22"/>
          <w:lang w:val="nl-NL"/>
        </w:rPr>
        <w:t xml:space="preserve">kiest </w:t>
      </w:r>
      <w:r w:rsidR="00ED55B9" w:rsidRPr="00ED55B9">
        <w:rPr>
          <w:sz w:val="22"/>
          <w:lang w:val="nl-NL"/>
        </w:rPr>
        <w:t xml:space="preserve">er </w:t>
      </w:r>
      <w:r w:rsidR="007A6629">
        <w:rPr>
          <w:sz w:val="22"/>
          <w:lang w:val="nl-NL"/>
        </w:rPr>
        <w:t xml:space="preserve">daarom </w:t>
      </w:r>
      <w:r w:rsidR="00ED55B9">
        <w:rPr>
          <w:sz w:val="22"/>
          <w:lang w:val="nl-NL"/>
        </w:rPr>
        <w:t xml:space="preserve">regelmatig </w:t>
      </w:r>
      <w:r w:rsidR="00ED55B9" w:rsidRPr="00ED55B9">
        <w:rPr>
          <w:sz w:val="22"/>
          <w:lang w:val="nl-NL"/>
        </w:rPr>
        <w:t xml:space="preserve">voor om invloed uit te oefenen op deze </w:t>
      </w:r>
      <w:r w:rsidR="00F647FE" w:rsidRPr="00ED55B9">
        <w:rPr>
          <w:sz w:val="22"/>
          <w:lang w:val="nl-NL"/>
        </w:rPr>
        <w:t xml:space="preserve">rechtsontwikkelingen. </w:t>
      </w:r>
      <w:r w:rsidR="00B43C5B">
        <w:rPr>
          <w:sz w:val="22"/>
          <w:lang w:val="nl-NL"/>
        </w:rPr>
        <w:t xml:space="preserve">Dit doet </w:t>
      </w:r>
      <w:r w:rsidR="00F647FE">
        <w:rPr>
          <w:sz w:val="22"/>
          <w:lang w:val="nl-NL"/>
        </w:rPr>
        <w:t>zij do</w:t>
      </w:r>
      <w:r w:rsidR="00F647FE" w:rsidRPr="00F647FE">
        <w:rPr>
          <w:sz w:val="22"/>
          <w:lang w:val="nl-NL"/>
        </w:rPr>
        <w:t xml:space="preserve">or actief haar visie naar voren te brengen </w:t>
      </w:r>
      <w:r w:rsidR="00B43C5B">
        <w:rPr>
          <w:sz w:val="22"/>
          <w:lang w:val="nl-NL"/>
        </w:rPr>
        <w:t xml:space="preserve">in </w:t>
      </w:r>
      <w:proofErr w:type="gramStart"/>
      <w:r w:rsidR="00D60A6A">
        <w:rPr>
          <w:sz w:val="22"/>
          <w:lang w:val="nl-NL"/>
        </w:rPr>
        <w:t>met name</w:t>
      </w:r>
      <w:proofErr w:type="gramEnd"/>
      <w:r w:rsidR="00D60A6A">
        <w:rPr>
          <w:sz w:val="22"/>
          <w:lang w:val="nl-NL"/>
        </w:rPr>
        <w:t xml:space="preserve"> </w:t>
      </w:r>
      <w:r w:rsidR="00B43C5B">
        <w:rPr>
          <w:sz w:val="22"/>
          <w:lang w:val="nl-NL"/>
        </w:rPr>
        <w:t>de ‘prejudiciële zaken’</w:t>
      </w:r>
      <w:r w:rsidR="00F647FE">
        <w:rPr>
          <w:sz w:val="22"/>
          <w:lang w:val="nl-NL"/>
        </w:rPr>
        <w:t xml:space="preserve"> bij het </w:t>
      </w:r>
      <w:r w:rsidR="002A1EE2">
        <w:rPr>
          <w:sz w:val="22"/>
          <w:lang w:val="nl-NL"/>
        </w:rPr>
        <w:t>EU-</w:t>
      </w:r>
      <w:r w:rsidR="00F647FE">
        <w:rPr>
          <w:sz w:val="22"/>
          <w:lang w:val="nl-NL"/>
        </w:rPr>
        <w:t>Hof</w:t>
      </w:r>
      <w:r w:rsidR="00B43C5B">
        <w:rPr>
          <w:sz w:val="22"/>
          <w:lang w:val="nl-NL"/>
        </w:rPr>
        <w:t xml:space="preserve">. Dit zijn zaken waarin het Hof vragen </w:t>
      </w:r>
      <w:r w:rsidR="007A6629">
        <w:rPr>
          <w:sz w:val="22"/>
          <w:lang w:val="nl-NL"/>
        </w:rPr>
        <w:t>van</w:t>
      </w:r>
      <w:r w:rsidR="00B43C5B">
        <w:rPr>
          <w:sz w:val="22"/>
          <w:lang w:val="nl-NL"/>
        </w:rPr>
        <w:t xml:space="preserve"> rechters uit de lidstaten word</w:t>
      </w:r>
      <w:r w:rsidR="00C85C64">
        <w:rPr>
          <w:sz w:val="22"/>
          <w:lang w:val="nl-NL"/>
        </w:rPr>
        <w:t>en</w:t>
      </w:r>
      <w:r w:rsidR="00B43C5B">
        <w:rPr>
          <w:sz w:val="22"/>
          <w:lang w:val="nl-NL"/>
        </w:rPr>
        <w:t xml:space="preserve"> voorgelegd over de uitleg van EU</w:t>
      </w:r>
      <w:r w:rsidR="007A6629">
        <w:rPr>
          <w:sz w:val="22"/>
          <w:lang w:val="nl-NL"/>
        </w:rPr>
        <w:t>-</w:t>
      </w:r>
      <w:r w:rsidR="00B43C5B">
        <w:rPr>
          <w:sz w:val="22"/>
          <w:lang w:val="nl-NL"/>
        </w:rPr>
        <w:t>rechtelijke bepalingen.</w:t>
      </w:r>
      <w:r w:rsidR="00732CFE">
        <w:rPr>
          <w:sz w:val="22"/>
          <w:lang w:val="nl-NL"/>
        </w:rPr>
        <w:t xml:space="preserve"> Het kan dan gaan om vragen van zowel Nederlandse rechters als om vragen van rechters uit andere lidstaten.</w:t>
      </w:r>
      <w:r w:rsidR="009D49A5">
        <w:rPr>
          <w:sz w:val="22"/>
          <w:lang w:val="nl-NL"/>
        </w:rPr>
        <w:t xml:space="preserve"> </w:t>
      </w:r>
    </w:p>
    <w:p w:rsidR="00F647FE" w:rsidRDefault="00F647FE" w:rsidP="00483F56">
      <w:pPr>
        <w:pStyle w:val="ListParagraph"/>
        <w:jc w:val="both"/>
        <w:rPr>
          <w:sz w:val="22"/>
          <w:lang w:val="nl-NL"/>
        </w:rPr>
      </w:pPr>
    </w:p>
    <w:p w:rsidR="00CF4CED" w:rsidRDefault="00D75FA4" w:rsidP="00483F56">
      <w:pPr>
        <w:pStyle w:val="ListParagraph"/>
        <w:jc w:val="both"/>
        <w:rPr>
          <w:sz w:val="22"/>
          <w:lang w:val="nl-NL"/>
        </w:rPr>
      </w:pPr>
      <w:r>
        <w:rPr>
          <w:sz w:val="22"/>
          <w:lang w:val="nl-NL"/>
        </w:rPr>
        <w:t>De lidstaten en de EU</w:t>
      </w:r>
      <w:r w:rsidR="002A1EE2">
        <w:rPr>
          <w:sz w:val="22"/>
          <w:lang w:val="nl-NL"/>
        </w:rPr>
        <w:t>-</w:t>
      </w:r>
      <w:r>
        <w:rPr>
          <w:sz w:val="22"/>
          <w:lang w:val="nl-NL"/>
        </w:rPr>
        <w:t xml:space="preserve"> instellingen zijn bevoegd om in prejudiciële zaken schriftelijke opmerkingen in te dienen. Na ontvangst van de verwijzingsbeschikking hebben zij </w:t>
      </w:r>
      <w:r w:rsidR="00A778D3">
        <w:rPr>
          <w:sz w:val="22"/>
          <w:lang w:val="nl-NL"/>
        </w:rPr>
        <w:t>twee maanden</w:t>
      </w:r>
      <w:r>
        <w:rPr>
          <w:sz w:val="22"/>
          <w:lang w:val="nl-NL"/>
        </w:rPr>
        <w:t xml:space="preserve"> om de opmerkingen bij het Hof te deponeren. </w:t>
      </w:r>
      <w:r w:rsidR="00B97E0A" w:rsidRPr="00723058">
        <w:rPr>
          <w:sz w:val="22"/>
          <w:lang w:val="nl-NL"/>
        </w:rPr>
        <w:t xml:space="preserve">Op jaarbasis </w:t>
      </w:r>
      <w:r w:rsidR="00D60A6A">
        <w:rPr>
          <w:sz w:val="22"/>
          <w:lang w:val="nl-NL"/>
        </w:rPr>
        <w:t>worden</w:t>
      </w:r>
      <w:r w:rsidR="00B97E0A" w:rsidRPr="00723058">
        <w:rPr>
          <w:sz w:val="22"/>
          <w:lang w:val="nl-NL"/>
        </w:rPr>
        <w:t xml:space="preserve"> rond de </w:t>
      </w:r>
      <w:r w:rsidR="002C1EF9" w:rsidRPr="00723058">
        <w:rPr>
          <w:sz w:val="22"/>
          <w:lang w:val="nl-NL"/>
        </w:rPr>
        <w:t>65</w:t>
      </w:r>
      <w:r w:rsidR="00B97E0A" w:rsidRPr="00723058">
        <w:rPr>
          <w:sz w:val="22"/>
          <w:lang w:val="nl-NL"/>
        </w:rPr>
        <w:t xml:space="preserve">0 nieuwe zaken </w:t>
      </w:r>
      <w:r w:rsidR="00D60A6A">
        <w:rPr>
          <w:sz w:val="22"/>
          <w:lang w:val="nl-NL"/>
        </w:rPr>
        <w:t>bij het Hof aanhangig gemaakt</w:t>
      </w:r>
      <w:r w:rsidR="00B97E0A" w:rsidRPr="00723058">
        <w:rPr>
          <w:sz w:val="22"/>
          <w:lang w:val="nl-NL"/>
        </w:rPr>
        <w:t xml:space="preserve">. </w:t>
      </w:r>
      <w:r w:rsidR="002C1EF9" w:rsidRPr="00723058">
        <w:rPr>
          <w:sz w:val="22"/>
          <w:lang w:val="nl-NL"/>
        </w:rPr>
        <w:t xml:space="preserve">Ongeveer 400 </w:t>
      </w:r>
      <w:r w:rsidR="009D49A5">
        <w:rPr>
          <w:sz w:val="22"/>
          <w:lang w:val="nl-NL"/>
        </w:rPr>
        <w:t xml:space="preserve">daarvan </w:t>
      </w:r>
      <w:r w:rsidR="002C1EF9" w:rsidRPr="00723058">
        <w:rPr>
          <w:sz w:val="22"/>
          <w:lang w:val="nl-NL"/>
        </w:rPr>
        <w:t>betref</w:t>
      </w:r>
      <w:r w:rsidR="009D49A5">
        <w:rPr>
          <w:sz w:val="22"/>
          <w:lang w:val="nl-NL"/>
        </w:rPr>
        <w:t>fen</w:t>
      </w:r>
      <w:r w:rsidR="002C1EF9" w:rsidRPr="00723058">
        <w:rPr>
          <w:sz w:val="22"/>
          <w:lang w:val="nl-NL"/>
        </w:rPr>
        <w:t xml:space="preserve"> prejudiciële </w:t>
      </w:r>
      <w:r w:rsidR="00732CFE" w:rsidRPr="00723058">
        <w:rPr>
          <w:sz w:val="22"/>
          <w:lang w:val="nl-NL"/>
        </w:rPr>
        <w:t xml:space="preserve">verwijzingen. </w:t>
      </w:r>
      <w:r w:rsidR="00B97E0A" w:rsidRPr="00723058">
        <w:rPr>
          <w:sz w:val="22"/>
          <w:lang w:val="nl-NL"/>
        </w:rPr>
        <w:t xml:space="preserve">In </w:t>
      </w:r>
      <w:r w:rsidR="00D60A6A">
        <w:rPr>
          <w:sz w:val="22"/>
          <w:lang w:val="nl-NL"/>
        </w:rPr>
        <w:t>ongeveer</w:t>
      </w:r>
      <w:r w:rsidR="00B97E0A" w:rsidRPr="00723058">
        <w:rPr>
          <w:sz w:val="22"/>
          <w:lang w:val="nl-NL"/>
        </w:rPr>
        <w:t xml:space="preserve"> </w:t>
      </w:r>
      <w:r w:rsidR="004E75C1">
        <w:rPr>
          <w:sz w:val="22"/>
          <w:lang w:val="nl-NL"/>
        </w:rPr>
        <w:t>60</w:t>
      </w:r>
      <w:r w:rsidR="00B97E0A" w:rsidRPr="00723058">
        <w:rPr>
          <w:sz w:val="22"/>
          <w:lang w:val="nl-NL"/>
        </w:rPr>
        <w:t xml:space="preserve"> </w:t>
      </w:r>
      <w:r w:rsidR="00CB3539">
        <w:rPr>
          <w:sz w:val="22"/>
          <w:lang w:val="nl-NL"/>
        </w:rPr>
        <w:t>daarvan</w:t>
      </w:r>
      <w:r w:rsidR="00B97E0A" w:rsidRPr="00723058">
        <w:rPr>
          <w:sz w:val="22"/>
          <w:lang w:val="nl-NL"/>
        </w:rPr>
        <w:t xml:space="preserve"> dient de Nederlandse regering opmerkingen in. </w:t>
      </w:r>
    </w:p>
    <w:p w:rsidR="00CF4CED" w:rsidRDefault="00CF4CED" w:rsidP="00483F56">
      <w:pPr>
        <w:pStyle w:val="ListParagraph"/>
        <w:jc w:val="both"/>
        <w:rPr>
          <w:sz w:val="22"/>
          <w:lang w:val="nl-NL"/>
        </w:rPr>
      </w:pPr>
    </w:p>
    <w:p w:rsidR="00C85C64" w:rsidRDefault="00CF4CED" w:rsidP="00483F56">
      <w:pPr>
        <w:pStyle w:val="ListParagraph"/>
        <w:jc w:val="both"/>
        <w:rPr>
          <w:sz w:val="22"/>
          <w:lang w:val="nl-NL"/>
        </w:rPr>
      </w:pPr>
      <w:r>
        <w:rPr>
          <w:sz w:val="22"/>
          <w:lang w:val="nl-NL"/>
        </w:rPr>
        <w:t>Nederland is ook actief ‘</w:t>
      </w:r>
      <w:r w:rsidR="00CB3539">
        <w:rPr>
          <w:sz w:val="22"/>
          <w:lang w:val="nl-NL"/>
        </w:rPr>
        <w:t>directe zaken</w:t>
      </w:r>
      <w:r>
        <w:rPr>
          <w:sz w:val="22"/>
          <w:lang w:val="nl-NL"/>
        </w:rPr>
        <w:t>’</w:t>
      </w:r>
      <w:r w:rsidR="00AF606F">
        <w:rPr>
          <w:sz w:val="22"/>
          <w:lang w:val="nl-NL"/>
        </w:rPr>
        <w:t>.</w:t>
      </w:r>
      <w:r w:rsidR="00EF0026">
        <w:rPr>
          <w:sz w:val="22"/>
          <w:lang w:val="nl-NL"/>
        </w:rPr>
        <w:t xml:space="preserve"> Dit zijn beroepen tegen besluiten van de </w:t>
      </w:r>
      <w:r w:rsidR="002A1EE2">
        <w:rPr>
          <w:sz w:val="22"/>
          <w:lang w:val="nl-NL"/>
        </w:rPr>
        <w:t>EU-</w:t>
      </w:r>
      <w:r w:rsidR="00EF0026">
        <w:rPr>
          <w:sz w:val="22"/>
          <w:lang w:val="nl-NL"/>
        </w:rPr>
        <w:t xml:space="preserve">instellingen, hogere voorzieningen tegen uitspraken van het </w:t>
      </w:r>
      <w:r w:rsidR="00A778D3">
        <w:rPr>
          <w:sz w:val="22"/>
          <w:lang w:val="nl-NL"/>
        </w:rPr>
        <w:t>G</w:t>
      </w:r>
      <w:r w:rsidR="00EF0026">
        <w:rPr>
          <w:sz w:val="22"/>
          <w:lang w:val="nl-NL"/>
        </w:rPr>
        <w:t>erecht en infractieprocedures van de Commissie tegen de lidstaten.</w:t>
      </w:r>
      <w:r w:rsidR="00AF606F">
        <w:rPr>
          <w:sz w:val="22"/>
          <w:lang w:val="nl-NL"/>
        </w:rPr>
        <w:t xml:space="preserve"> Het gaat om ongeveer tien zaken per jaar.</w:t>
      </w:r>
    </w:p>
    <w:p w:rsidR="002D4019" w:rsidRDefault="002D4019" w:rsidP="00483F56">
      <w:pPr>
        <w:pStyle w:val="ListParagraph"/>
        <w:jc w:val="both"/>
        <w:rPr>
          <w:sz w:val="22"/>
          <w:lang w:val="nl-NL"/>
        </w:rPr>
      </w:pPr>
    </w:p>
    <w:p w:rsidR="007D59D3" w:rsidRDefault="002D4019" w:rsidP="00483F56">
      <w:pPr>
        <w:pStyle w:val="ListParagraph"/>
        <w:jc w:val="both"/>
        <w:rPr>
          <w:sz w:val="22"/>
          <w:lang w:val="nl-NL"/>
        </w:rPr>
      </w:pPr>
      <w:r>
        <w:rPr>
          <w:sz w:val="22"/>
          <w:lang w:val="nl-NL"/>
        </w:rPr>
        <w:t xml:space="preserve">Deze handleiding </w:t>
      </w:r>
      <w:r w:rsidR="00B61DAD">
        <w:rPr>
          <w:sz w:val="22"/>
          <w:lang w:val="nl-NL"/>
        </w:rPr>
        <w:t xml:space="preserve">gaat eerst in op de vaststelling van </w:t>
      </w:r>
      <w:r w:rsidR="00073CA0">
        <w:rPr>
          <w:sz w:val="22"/>
          <w:lang w:val="nl-NL"/>
        </w:rPr>
        <w:t xml:space="preserve">het </w:t>
      </w:r>
      <w:r w:rsidR="00B61DAD">
        <w:rPr>
          <w:sz w:val="22"/>
          <w:lang w:val="nl-NL"/>
        </w:rPr>
        <w:t xml:space="preserve">belang </w:t>
      </w:r>
      <w:r w:rsidR="00CB3539">
        <w:rPr>
          <w:sz w:val="22"/>
          <w:lang w:val="nl-NL"/>
        </w:rPr>
        <w:t xml:space="preserve">bij deelname aan een </w:t>
      </w:r>
      <w:r w:rsidR="00EF0026">
        <w:rPr>
          <w:sz w:val="22"/>
          <w:lang w:val="nl-NL"/>
        </w:rPr>
        <w:t>prejudiciële zaak</w:t>
      </w:r>
      <w:r w:rsidR="00CB3539">
        <w:rPr>
          <w:sz w:val="22"/>
          <w:lang w:val="nl-NL"/>
        </w:rPr>
        <w:t xml:space="preserve"> bij het Hof van Justitie</w:t>
      </w:r>
      <w:r w:rsidR="00314333">
        <w:rPr>
          <w:sz w:val="22"/>
          <w:lang w:val="nl-NL"/>
        </w:rPr>
        <w:t xml:space="preserve"> </w:t>
      </w:r>
      <w:r w:rsidR="00B61DAD">
        <w:rPr>
          <w:sz w:val="22"/>
          <w:lang w:val="nl-NL"/>
        </w:rPr>
        <w:t>(</w:t>
      </w:r>
      <w:r w:rsidR="00625DA6">
        <w:rPr>
          <w:sz w:val="22"/>
          <w:lang w:val="nl-NL"/>
        </w:rPr>
        <w:t>I.A</w:t>
      </w:r>
      <w:r w:rsidR="00B61DAD">
        <w:rPr>
          <w:sz w:val="22"/>
          <w:lang w:val="nl-NL"/>
        </w:rPr>
        <w:t xml:space="preserve">). </w:t>
      </w:r>
      <w:r w:rsidR="00C74B1E">
        <w:rPr>
          <w:sz w:val="22"/>
          <w:lang w:val="nl-NL"/>
        </w:rPr>
        <w:t xml:space="preserve">Daarbij </w:t>
      </w:r>
      <w:r w:rsidR="00723058">
        <w:rPr>
          <w:sz w:val="22"/>
          <w:lang w:val="nl-NL"/>
        </w:rPr>
        <w:t>wordt ook</w:t>
      </w:r>
      <w:r w:rsidR="00B61DAD">
        <w:rPr>
          <w:sz w:val="22"/>
          <w:lang w:val="nl-NL"/>
        </w:rPr>
        <w:t xml:space="preserve"> ingegaan op </w:t>
      </w:r>
      <w:r w:rsidR="00BB45B5">
        <w:rPr>
          <w:sz w:val="22"/>
          <w:lang w:val="nl-NL"/>
        </w:rPr>
        <w:t>het belang bij deelname aan</w:t>
      </w:r>
      <w:r w:rsidR="00B61DAD">
        <w:rPr>
          <w:sz w:val="22"/>
          <w:lang w:val="nl-NL"/>
        </w:rPr>
        <w:t xml:space="preserve"> een </w:t>
      </w:r>
      <w:r w:rsidR="00EF0026">
        <w:rPr>
          <w:sz w:val="22"/>
          <w:lang w:val="nl-NL"/>
        </w:rPr>
        <w:t>mondelinge behandeling</w:t>
      </w:r>
      <w:r w:rsidR="00B61DAD">
        <w:rPr>
          <w:sz w:val="22"/>
          <w:lang w:val="nl-NL"/>
        </w:rPr>
        <w:t xml:space="preserve"> bij prejudiciële </w:t>
      </w:r>
      <w:r w:rsidR="00BB45B5">
        <w:rPr>
          <w:sz w:val="22"/>
          <w:lang w:val="nl-NL"/>
        </w:rPr>
        <w:t>zaken</w:t>
      </w:r>
      <w:r w:rsidR="00B61DAD">
        <w:rPr>
          <w:sz w:val="22"/>
          <w:lang w:val="nl-NL"/>
        </w:rPr>
        <w:t>(I</w:t>
      </w:r>
      <w:r w:rsidR="00625DA6">
        <w:rPr>
          <w:sz w:val="22"/>
          <w:lang w:val="nl-NL"/>
        </w:rPr>
        <w:t>.B</w:t>
      </w:r>
      <w:r w:rsidR="00B61DAD">
        <w:rPr>
          <w:sz w:val="22"/>
          <w:lang w:val="nl-NL"/>
        </w:rPr>
        <w:t>).</w:t>
      </w:r>
      <w:r w:rsidR="002A49CF">
        <w:rPr>
          <w:sz w:val="22"/>
          <w:lang w:val="nl-NL"/>
        </w:rPr>
        <w:t xml:space="preserve"> </w:t>
      </w:r>
    </w:p>
    <w:p w:rsidR="00D60A6A" w:rsidRDefault="00A778D3" w:rsidP="00483F56">
      <w:pPr>
        <w:pStyle w:val="ListParagraph"/>
        <w:jc w:val="both"/>
        <w:rPr>
          <w:sz w:val="22"/>
          <w:lang w:val="nl-NL"/>
        </w:rPr>
      </w:pPr>
      <w:r>
        <w:rPr>
          <w:sz w:val="22"/>
          <w:lang w:val="nl-NL"/>
        </w:rPr>
        <w:t>Vervolgens</w:t>
      </w:r>
      <w:r w:rsidR="00D83795">
        <w:rPr>
          <w:sz w:val="22"/>
          <w:lang w:val="nl-NL"/>
        </w:rPr>
        <w:t xml:space="preserve"> zal </w:t>
      </w:r>
      <w:r w:rsidR="00D60A6A">
        <w:rPr>
          <w:sz w:val="22"/>
          <w:lang w:val="nl-NL"/>
        </w:rPr>
        <w:t xml:space="preserve">worden </w:t>
      </w:r>
      <w:r>
        <w:rPr>
          <w:sz w:val="22"/>
          <w:lang w:val="nl-NL"/>
        </w:rPr>
        <w:t xml:space="preserve">ingegaan </w:t>
      </w:r>
      <w:r w:rsidR="00D60A6A">
        <w:rPr>
          <w:sz w:val="22"/>
          <w:lang w:val="nl-NL"/>
        </w:rPr>
        <w:t xml:space="preserve">op </w:t>
      </w:r>
      <w:r w:rsidR="00314333">
        <w:rPr>
          <w:sz w:val="22"/>
          <w:lang w:val="nl-NL"/>
        </w:rPr>
        <w:t xml:space="preserve">de </w:t>
      </w:r>
      <w:r w:rsidR="00D60A6A">
        <w:rPr>
          <w:sz w:val="22"/>
          <w:lang w:val="nl-NL"/>
        </w:rPr>
        <w:t xml:space="preserve">specifieke </w:t>
      </w:r>
      <w:r w:rsidR="00314333">
        <w:rPr>
          <w:sz w:val="22"/>
          <w:lang w:val="nl-NL"/>
        </w:rPr>
        <w:t>factoren</w:t>
      </w:r>
      <w:r>
        <w:rPr>
          <w:sz w:val="22"/>
          <w:lang w:val="nl-NL"/>
        </w:rPr>
        <w:t xml:space="preserve"> </w:t>
      </w:r>
      <w:r w:rsidR="00506135">
        <w:rPr>
          <w:sz w:val="22"/>
          <w:lang w:val="nl-NL"/>
        </w:rPr>
        <w:t>waar rekening mee moet worden gehouden</w:t>
      </w:r>
      <w:r w:rsidR="004E05A3">
        <w:rPr>
          <w:sz w:val="22"/>
          <w:lang w:val="nl-NL"/>
        </w:rPr>
        <w:t xml:space="preserve"> bij de overweging om </w:t>
      </w:r>
      <w:r w:rsidR="007D59D3">
        <w:rPr>
          <w:sz w:val="22"/>
          <w:lang w:val="nl-NL"/>
        </w:rPr>
        <w:t xml:space="preserve">in </w:t>
      </w:r>
      <w:r w:rsidR="00EF0026">
        <w:rPr>
          <w:sz w:val="22"/>
          <w:lang w:val="nl-NL"/>
        </w:rPr>
        <w:t>directe</w:t>
      </w:r>
      <w:r w:rsidR="007D59D3">
        <w:rPr>
          <w:sz w:val="22"/>
          <w:lang w:val="nl-NL"/>
        </w:rPr>
        <w:t xml:space="preserve"> </w:t>
      </w:r>
      <w:r w:rsidR="00EF0026">
        <w:rPr>
          <w:sz w:val="22"/>
          <w:lang w:val="nl-NL"/>
        </w:rPr>
        <w:t>zaken</w:t>
      </w:r>
      <w:r w:rsidR="00544456">
        <w:rPr>
          <w:sz w:val="22"/>
          <w:lang w:val="nl-NL"/>
        </w:rPr>
        <w:t>,</w:t>
      </w:r>
      <w:r w:rsidR="00B61DAD">
        <w:rPr>
          <w:sz w:val="22"/>
          <w:lang w:val="nl-NL"/>
        </w:rPr>
        <w:t xml:space="preserve"> </w:t>
      </w:r>
      <w:r w:rsidR="007D59D3">
        <w:rPr>
          <w:sz w:val="22"/>
          <w:lang w:val="nl-NL"/>
        </w:rPr>
        <w:t>advie</w:t>
      </w:r>
      <w:r>
        <w:rPr>
          <w:sz w:val="22"/>
          <w:lang w:val="nl-NL"/>
        </w:rPr>
        <w:t>szaken</w:t>
      </w:r>
      <w:r w:rsidR="007D59D3">
        <w:rPr>
          <w:sz w:val="22"/>
          <w:lang w:val="nl-NL"/>
        </w:rPr>
        <w:t xml:space="preserve"> </w:t>
      </w:r>
      <w:r w:rsidR="00B01805">
        <w:rPr>
          <w:sz w:val="22"/>
          <w:lang w:val="nl-NL"/>
        </w:rPr>
        <w:t xml:space="preserve">en </w:t>
      </w:r>
      <w:r>
        <w:rPr>
          <w:sz w:val="22"/>
          <w:lang w:val="nl-NL"/>
        </w:rPr>
        <w:t>zaken</w:t>
      </w:r>
      <w:r w:rsidR="007D59D3">
        <w:rPr>
          <w:sz w:val="22"/>
          <w:lang w:val="nl-NL"/>
        </w:rPr>
        <w:t xml:space="preserve"> bij het EVA-hof</w:t>
      </w:r>
      <w:r w:rsidR="004E05A3">
        <w:rPr>
          <w:sz w:val="22"/>
          <w:lang w:val="nl-NL"/>
        </w:rPr>
        <w:t xml:space="preserve"> mee te doen</w:t>
      </w:r>
      <w:r w:rsidR="00625DA6">
        <w:rPr>
          <w:sz w:val="22"/>
          <w:lang w:val="nl-NL"/>
        </w:rPr>
        <w:t xml:space="preserve"> (II)</w:t>
      </w:r>
      <w:r w:rsidR="00723058">
        <w:rPr>
          <w:sz w:val="22"/>
          <w:lang w:val="nl-NL"/>
        </w:rPr>
        <w:t>.</w:t>
      </w:r>
      <w:r w:rsidR="00B01805">
        <w:rPr>
          <w:sz w:val="22"/>
          <w:lang w:val="nl-NL"/>
        </w:rPr>
        <w:t xml:space="preserve"> </w:t>
      </w:r>
      <w:r w:rsidR="00BB45B5">
        <w:rPr>
          <w:sz w:val="22"/>
          <w:lang w:val="nl-NL"/>
        </w:rPr>
        <w:t>Tot slot wordt kort ingegaan op d</w:t>
      </w:r>
      <w:r w:rsidR="00314333">
        <w:rPr>
          <w:sz w:val="22"/>
          <w:lang w:val="nl-NL"/>
        </w:rPr>
        <w:t>e procedure voor het besluit tot deelname en de voorbereiding van de Nederlandse inbreng (III).</w:t>
      </w:r>
    </w:p>
    <w:p w:rsidR="006534CE" w:rsidRDefault="006534CE" w:rsidP="00483F56">
      <w:pPr>
        <w:pStyle w:val="ListParagraph"/>
        <w:jc w:val="both"/>
        <w:rPr>
          <w:sz w:val="22"/>
          <w:lang w:val="nl-NL"/>
        </w:rPr>
      </w:pPr>
      <w:r>
        <w:rPr>
          <w:sz w:val="22"/>
          <w:lang w:val="nl-NL"/>
        </w:rPr>
        <w:t xml:space="preserve">De ICER staat open voor uw opmerkingen en reacties naar aanleiding van deze handleiding. Voor deze maar ook voor nadere toelichting en vragen kunt u contact opnemen met het ICER-H secretariaat via </w:t>
      </w:r>
      <w:hyperlink r:id="rId9" w:history="1">
        <w:r w:rsidR="00AF40F5" w:rsidRPr="003F744E">
          <w:rPr>
            <w:rStyle w:val="Hyperlink"/>
            <w:sz w:val="22"/>
            <w:lang w:val="nl-NL"/>
          </w:rPr>
          <w:t>icer-h-secr@minbuza.nl</w:t>
        </w:r>
      </w:hyperlink>
      <w:r w:rsidR="00AF40F5">
        <w:rPr>
          <w:sz w:val="22"/>
          <w:lang w:val="nl-NL"/>
        </w:rPr>
        <w:t xml:space="preserve"> </w:t>
      </w:r>
    </w:p>
    <w:p w:rsidR="00723058" w:rsidRDefault="00723058" w:rsidP="00483F56">
      <w:pPr>
        <w:jc w:val="both"/>
        <w:rPr>
          <w:sz w:val="22"/>
          <w:lang w:val="nl-NL"/>
        </w:rPr>
      </w:pPr>
      <w:r>
        <w:rPr>
          <w:sz w:val="22"/>
          <w:lang w:val="nl-NL"/>
        </w:rPr>
        <w:br w:type="page"/>
      </w:r>
    </w:p>
    <w:p w:rsidR="00B61DAD" w:rsidRDefault="00B61DAD" w:rsidP="00483F56">
      <w:pPr>
        <w:pStyle w:val="ListParagraph"/>
        <w:jc w:val="both"/>
        <w:rPr>
          <w:sz w:val="22"/>
          <w:lang w:val="nl-NL"/>
        </w:rPr>
      </w:pPr>
    </w:p>
    <w:p w:rsidR="00B61DAD" w:rsidRDefault="007571DA" w:rsidP="00483F56">
      <w:pPr>
        <w:pStyle w:val="ListParagraph"/>
        <w:jc w:val="both"/>
        <w:rPr>
          <w:sz w:val="22"/>
          <w:lang w:val="nl-NL"/>
        </w:rPr>
      </w:pPr>
      <w:r>
        <w:rPr>
          <w:b/>
          <w:sz w:val="22"/>
          <w:lang w:val="nl-NL"/>
        </w:rPr>
        <w:t>I</w:t>
      </w:r>
      <w:r w:rsidR="007F492E">
        <w:rPr>
          <w:b/>
          <w:sz w:val="22"/>
          <w:lang w:val="nl-NL"/>
        </w:rPr>
        <w:t>.</w:t>
      </w:r>
      <w:r w:rsidR="00DE14B3" w:rsidRPr="007D59D3">
        <w:rPr>
          <w:b/>
          <w:sz w:val="22"/>
          <w:lang w:val="nl-NL"/>
        </w:rPr>
        <w:t xml:space="preserve"> </w:t>
      </w:r>
      <w:r w:rsidR="00AF606F" w:rsidRPr="00AF606F">
        <w:rPr>
          <w:b/>
          <w:sz w:val="22"/>
          <w:lang w:val="nl-NL"/>
        </w:rPr>
        <w:t xml:space="preserve">Vaststelling van het belang bij deelname aan een prejudiciële zaak </w:t>
      </w:r>
    </w:p>
    <w:p w:rsidR="00AF606F" w:rsidRDefault="00AF606F" w:rsidP="00483F56">
      <w:pPr>
        <w:pStyle w:val="ListParagraph"/>
        <w:jc w:val="both"/>
        <w:rPr>
          <w:sz w:val="22"/>
          <w:lang w:val="nl-NL"/>
        </w:rPr>
      </w:pPr>
    </w:p>
    <w:p w:rsidR="00B61DAD" w:rsidRPr="007F492E" w:rsidRDefault="00A778D3" w:rsidP="00483F56">
      <w:pPr>
        <w:pStyle w:val="ListParagraph"/>
        <w:numPr>
          <w:ilvl w:val="0"/>
          <w:numId w:val="17"/>
        </w:numPr>
        <w:jc w:val="both"/>
        <w:rPr>
          <w:b/>
          <w:sz w:val="22"/>
          <w:lang w:val="nl-NL"/>
        </w:rPr>
      </w:pPr>
      <w:r>
        <w:rPr>
          <w:b/>
          <w:sz w:val="22"/>
          <w:lang w:val="nl-NL"/>
        </w:rPr>
        <w:t>H</w:t>
      </w:r>
      <w:r w:rsidR="003B419D" w:rsidRPr="007F492E">
        <w:rPr>
          <w:b/>
          <w:sz w:val="22"/>
          <w:lang w:val="nl-NL"/>
        </w:rPr>
        <w:t>et belang</w:t>
      </w:r>
      <w:r>
        <w:rPr>
          <w:b/>
          <w:sz w:val="22"/>
          <w:lang w:val="nl-NL"/>
        </w:rPr>
        <w:t xml:space="preserve"> bij deelname aan de schriftelijke fase</w:t>
      </w:r>
    </w:p>
    <w:p w:rsidR="006534CE" w:rsidRDefault="006534CE" w:rsidP="00483F56">
      <w:pPr>
        <w:pStyle w:val="ListParagraph"/>
        <w:ind w:left="1440"/>
        <w:jc w:val="both"/>
        <w:rPr>
          <w:sz w:val="22"/>
          <w:lang w:val="nl-NL"/>
        </w:rPr>
      </w:pPr>
    </w:p>
    <w:p w:rsidR="00C22A87" w:rsidRDefault="006534CE" w:rsidP="00483F56">
      <w:pPr>
        <w:pStyle w:val="ListParagraph"/>
        <w:ind w:left="1440"/>
        <w:jc w:val="both"/>
        <w:rPr>
          <w:sz w:val="22"/>
          <w:lang w:val="nl-NL"/>
        </w:rPr>
      </w:pPr>
      <w:r>
        <w:rPr>
          <w:sz w:val="22"/>
          <w:lang w:val="nl-NL"/>
        </w:rPr>
        <w:t xml:space="preserve">In dit deel wordt een overzicht gegeven </w:t>
      </w:r>
      <w:r w:rsidR="00314333">
        <w:rPr>
          <w:sz w:val="22"/>
          <w:lang w:val="nl-NL"/>
        </w:rPr>
        <w:t>van</w:t>
      </w:r>
      <w:r w:rsidR="00483F56">
        <w:rPr>
          <w:sz w:val="22"/>
          <w:lang w:val="nl-NL"/>
        </w:rPr>
        <w:t xml:space="preserve"> </w:t>
      </w:r>
      <w:r w:rsidR="00A778D3">
        <w:rPr>
          <w:sz w:val="22"/>
          <w:lang w:val="nl-NL"/>
        </w:rPr>
        <w:t>factoren die bepalend zijn voor de keuze om</w:t>
      </w:r>
      <w:r w:rsidR="00784EF7">
        <w:rPr>
          <w:sz w:val="22"/>
          <w:lang w:val="nl-NL"/>
        </w:rPr>
        <w:t xml:space="preserve"> </w:t>
      </w:r>
      <w:r w:rsidR="009740C0">
        <w:rPr>
          <w:sz w:val="22"/>
          <w:lang w:val="nl-NL"/>
        </w:rPr>
        <w:t xml:space="preserve">schriftelijke opmerkingen </w:t>
      </w:r>
      <w:r w:rsidR="00A778D3">
        <w:rPr>
          <w:sz w:val="22"/>
          <w:lang w:val="nl-NL"/>
        </w:rPr>
        <w:t>in te dienen</w:t>
      </w:r>
      <w:r w:rsidR="00645BA0">
        <w:rPr>
          <w:sz w:val="22"/>
          <w:lang w:val="nl-NL"/>
        </w:rPr>
        <w:t xml:space="preserve"> in</w:t>
      </w:r>
      <w:r w:rsidR="00784EF7">
        <w:rPr>
          <w:sz w:val="22"/>
          <w:lang w:val="nl-NL"/>
        </w:rPr>
        <w:t xml:space="preserve"> een prejudiciële </w:t>
      </w:r>
      <w:r w:rsidR="00A778D3">
        <w:rPr>
          <w:sz w:val="22"/>
          <w:lang w:val="nl-NL"/>
        </w:rPr>
        <w:t>zaak</w:t>
      </w:r>
      <w:r w:rsidR="00645BA0">
        <w:rPr>
          <w:sz w:val="22"/>
          <w:lang w:val="nl-NL"/>
        </w:rPr>
        <w:t xml:space="preserve"> bij het EU-Hof</w:t>
      </w:r>
      <w:r w:rsidR="00784EF7">
        <w:rPr>
          <w:sz w:val="22"/>
          <w:lang w:val="nl-NL"/>
        </w:rPr>
        <w:t>.</w:t>
      </w:r>
    </w:p>
    <w:p w:rsidR="00C22A87" w:rsidRDefault="00C22A87" w:rsidP="00483F56">
      <w:pPr>
        <w:pStyle w:val="ListParagraph"/>
        <w:ind w:left="1440"/>
        <w:jc w:val="both"/>
        <w:rPr>
          <w:sz w:val="22"/>
          <w:lang w:val="nl-NL"/>
        </w:rPr>
      </w:pPr>
    </w:p>
    <w:p w:rsidR="00B52798" w:rsidRDefault="00784EF7" w:rsidP="00483F56">
      <w:pPr>
        <w:pStyle w:val="ListParagraph"/>
        <w:ind w:left="1440"/>
        <w:jc w:val="both"/>
        <w:rPr>
          <w:sz w:val="22"/>
          <w:lang w:val="nl-NL"/>
        </w:rPr>
      </w:pPr>
      <w:r>
        <w:rPr>
          <w:sz w:val="22"/>
          <w:lang w:val="nl-NL"/>
        </w:rPr>
        <w:t xml:space="preserve">Het kan in de prejudiciële </w:t>
      </w:r>
      <w:r w:rsidR="00125ABB">
        <w:rPr>
          <w:sz w:val="22"/>
          <w:lang w:val="nl-NL"/>
        </w:rPr>
        <w:t>zaken</w:t>
      </w:r>
      <w:r>
        <w:rPr>
          <w:sz w:val="22"/>
          <w:lang w:val="nl-NL"/>
        </w:rPr>
        <w:t xml:space="preserve"> gaan om </w:t>
      </w:r>
      <w:r w:rsidR="00C1784A">
        <w:rPr>
          <w:sz w:val="22"/>
          <w:lang w:val="nl-NL"/>
        </w:rPr>
        <w:t xml:space="preserve">vragen </w:t>
      </w:r>
      <w:r w:rsidR="009D49A5">
        <w:rPr>
          <w:sz w:val="22"/>
          <w:lang w:val="nl-NL"/>
        </w:rPr>
        <w:t>afkomstig van zowel</w:t>
      </w:r>
      <w:r w:rsidR="00C1784A">
        <w:rPr>
          <w:sz w:val="22"/>
          <w:lang w:val="nl-NL"/>
        </w:rPr>
        <w:t xml:space="preserve"> </w:t>
      </w:r>
      <w:r>
        <w:rPr>
          <w:sz w:val="22"/>
          <w:lang w:val="nl-NL"/>
        </w:rPr>
        <w:t>Nederlandse</w:t>
      </w:r>
      <w:r w:rsidR="00B25F61">
        <w:rPr>
          <w:sz w:val="22"/>
          <w:lang w:val="nl-NL"/>
        </w:rPr>
        <w:t xml:space="preserve"> rechters </w:t>
      </w:r>
      <w:r w:rsidR="009D49A5">
        <w:rPr>
          <w:sz w:val="22"/>
          <w:lang w:val="nl-NL"/>
        </w:rPr>
        <w:t>als</w:t>
      </w:r>
      <w:r>
        <w:rPr>
          <w:sz w:val="22"/>
          <w:lang w:val="nl-NL"/>
        </w:rPr>
        <w:t xml:space="preserve"> </w:t>
      </w:r>
      <w:r w:rsidR="00C1784A">
        <w:rPr>
          <w:sz w:val="22"/>
          <w:lang w:val="nl-NL"/>
        </w:rPr>
        <w:t xml:space="preserve">vragen van </w:t>
      </w:r>
      <w:r w:rsidR="00B25F61">
        <w:rPr>
          <w:sz w:val="22"/>
          <w:lang w:val="nl-NL"/>
        </w:rPr>
        <w:t xml:space="preserve">rechters uit andere lidstaten. </w:t>
      </w:r>
      <w:r w:rsidR="00125ABB">
        <w:rPr>
          <w:sz w:val="22"/>
          <w:lang w:val="nl-NL"/>
        </w:rPr>
        <w:t xml:space="preserve">In prejudiciële zaken vraagt de verwijzende rechter om </w:t>
      </w:r>
      <w:r w:rsidR="00125ABB" w:rsidRPr="00125ABB">
        <w:rPr>
          <w:sz w:val="22"/>
          <w:lang w:val="nl-NL"/>
        </w:rPr>
        <w:t xml:space="preserve">uitleg over EU-wetgeving </w:t>
      </w:r>
      <w:r w:rsidR="00125ABB">
        <w:rPr>
          <w:sz w:val="22"/>
          <w:lang w:val="nl-NL"/>
        </w:rPr>
        <w:t>als</w:t>
      </w:r>
      <w:r w:rsidR="00125ABB" w:rsidRPr="00125ABB">
        <w:rPr>
          <w:sz w:val="22"/>
          <w:lang w:val="nl-NL"/>
        </w:rPr>
        <w:t xml:space="preserve"> hij twijfels heeft over de verenigbaarheid van de </w:t>
      </w:r>
      <w:r w:rsidR="00125ABB">
        <w:rPr>
          <w:sz w:val="22"/>
          <w:lang w:val="nl-NL"/>
        </w:rPr>
        <w:t xml:space="preserve">nationale </w:t>
      </w:r>
      <w:r w:rsidR="00125ABB" w:rsidRPr="00125ABB">
        <w:rPr>
          <w:sz w:val="22"/>
          <w:lang w:val="nl-NL"/>
        </w:rPr>
        <w:t xml:space="preserve">regelgeving, het beleid of de uitvoeringspraktijk met het Unierecht. </w:t>
      </w:r>
      <w:r w:rsidR="00B52798" w:rsidRPr="00B52798">
        <w:rPr>
          <w:sz w:val="22"/>
          <w:lang w:val="nl-NL"/>
        </w:rPr>
        <w:t xml:space="preserve">De belangrijkste reden om </w:t>
      </w:r>
      <w:r w:rsidR="00645BA0">
        <w:rPr>
          <w:sz w:val="22"/>
          <w:lang w:val="nl-NL"/>
        </w:rPr>
        <w:t>opmerkingen</w:t>
      </w:r>
      <w:r w:rsidR="00B52798" w:rsidRPr="00B52798">
        <w:rPr>
          <w:sz w:val="22"/>
          <w:lang w:val="nl-NL"/>
        </w:rPr>
        <w:t xml:space="preserve"> in te dienen is de inschatting dat de uitkomst het Nederlands belang zal raken. De </w:t>
      </w:r>
      <w:r w:rsidR="00645BA0">
        <w:rPr>
          <w:sz w:val="22"/>
          <w:lang w:val="nl-NL"/>
        </w:rPr>
        <w:t>factoren</w:t>
      </w:r>
      <w:r w:rsidR="00B52798" w:rsidRPr="00B52798">
        <w:rPr>
          <w:sz w:val="22"/>
          <w:lang w:val="nl-NL"/>
        </w:rPr>
        <w:t xml:space="preserve"> die hieronder worden genoemd, geven de meest voorkomende situaties weer waarin waarschijnlijk het Nederlands belang zal worden geraakt. Deze lijst is niet uitputtend bedoeld</w:t>
      </w:r>
      <w:r w:rsidR="00B52798">
        <w:rPr>
          <w:sz w:val="22"/>
          <w:lang w:val="nl-NL"/>
        </w:rPr>
        <w:t>.</w:t>
      </w:r>
      <w:r w:rsidR="00B52798" w:rsidRPr="00B52798">
        <w:rPr>
          <w:sz w:val="22"/>
          <w:lang w:val="nl-NL"/>
        </w:rPr>
        <w:t xml:space="preserve"> </w:t>
      </w:r>
    </w:p>
    <w:p w:rsidR="007F492E" w:rsidRDefault="007F492E" w:rsidP="00483F56">
      <w:pPr>
        <w:pStyle w:val="ListParagraph"/>
        <w:ind w:left="1440"/>
        <w:jc w:val="both"/>
        <w:rPr>
          <w:sz w:val="22"/>
          <w:lang w:val="nl-NL"/>
        </w:rPr>
      </w:pPr>
    </w:p>
    <w:p w:rsidR="007571DA" w:rsidRDefault="00645BA0" w:rsidP="00483F56">
      <w:pPr>
        <w:pStyle w:val="ListParagraph"/>
        <w:ind w:left="1440"/>
        <w:jc w:val="both"/>
        <w:rPr>
          <w:sz w:val="22"/>
          <w:lang w:val="nl-NL"/>
        </w:rPr>
      </w:pPr>
      <w:r>
        <w:rPr>
          <w:sz w:val="22"/>
          <w:lang w:val="nl-NL"/>
        </w:rPr>
        <w:t>Naast de genoemde factoren</w:t>
      </w:r>
      <w:r w:rsidR="007571DA">
        <w:rPr>
          <w:sz w:val="22"/>
          <w:lang w:val="nl-NL"/>
        </w:rPr>
        <w:t xml:space="preserve"> </w:t>
      </w:r>
      <w:r>
        <w:rPr>
          <w:sz w:val="22"/>
          <w:lang w:val="nl-NL"/>
        </w:rPr>
        <w:t xml:space="preserve">zal </w:t>
      </w:r>
      <w:r w:rsidR="007571DA">
        <w:rPr>
          <w:sz w:val="22"/>
          <w:lang w:val="nl-NL"/>
        </w:rPr>
        <w:t xml:space="preserve">het kosten-baten-aspect </w:t>
      </w:r>
      <w:r>
        <w:rPr>
          <w:sz w:val="22"/>
          <w:lang w:val="nl-NL"/>
        </w:rPr>
        <w:t>in de afweging moeten worden betrokken.</w:t>
      </w:r>
      <w:r w:rsidR="007571DA">
        <w:rPr>
          <w:sz w:val="22"/>
          <w:lang w:val="nl-NL"/>
        </w:rPr>
        <w:t xml:space="preserve"> </w:t>
      </w:r>
      <w:r w:rsidR="007571DA" w:rsidRPr="007571DA">
        <w:rPr>
          <w:sz w:val="22"/>
          <w:lang w:val="nl-NL"/>
        </w:rPr>
        <w:t xml:space="preserve">Het voorbereiden en uitwerken van opmerkingen neemt veel tijd in beslag. </w:t>
      </w:r>
      <w:r>
        <w:rPr>
          <w:sz w:val="22"/>
          <w:lang w:val="nl-NL"/>
        </w:rPr>
        <w:t>Verder moet er</w:t>
      </w:r>
      <w:r w:rsidR="007571DA">
        <w:rPr>
          <w:sz w:val="22"/>
          <w:lang w:val="nl-NL"/>
        </w:rPr>
        <w:t xml:space="preserve"> een Nederlands standpunt zijn dat juridisch moet kunnen worden onderbouwd.</w:t>
      </w:r>
    </w:p>
    <w:p w:rsidR="00645BA0" w:rsidRDefault="00645BA0" w:rsidP="00483F56">
      <w:pPr>
        <w:pStyle w:val="ListParagraph"/>
        <w:ind w:left="1440"/>
        <w:jc w:val="both"/>
        <w:rPr>
          <w:sz w:val="22"/>
          <w:lang w:val="nl-NL"/>
        </w:rPr>
      </w:pPr>
    </w:p>
    <w:p w:rsidR="00B25F61" w:rsidRDefault="00D70C92" w:rsidP="00483F56">
      <w:pPr>
        <w:pStyle w:val="ListParagraph"/>
        <w:ind w:left="1440"/>
        <w:jc w:val="both"/>
        <w:rPr>
          <w:sz w:val="22"/>
          <w:lang w:val="nl-NL"/>
        </w:rPr>
      </w:pPr>
      <w:r>
        <w:rPr>
          <w:sz w:val="22"/>
          <w:lang w:val="nl-NL"/>
        </w:rPr>
        <w:t>E</w:t>
      </w:r>
      <w:r w:rsidR="00797920">
        <w:rPr>
          <w:sz w:val="22"/>
          <w:lang w:val="nl-NL"/>
        </w:rPr>
        <w:t xml:space="preserve">r </w:t>
      </w:r>
      <w:r>
        <w:rPr>
          <w:sz w:val="22"/>
          <w:lang w:val="nl-NL"/>
        </w:rPr>
        <w:t xml:space="preserve">is </w:t>
      </w:r>
      <w:r w:rsidR="00E01521">
        <w:rPr>
          <w:sz w:val="22"/>
          <w:lang w:val="nl-NL"/>
        </w:rPr>
        <w:t xml:space="preserve">geen sprake van </w:t>
      </w:r>
      <w:r>
        <w:rPr>
          <w:sz w:val="22"/>
          <w:lang w:val="nl-NL"/>
        </w:rPr>
        <w:t xml:space="preserve">hiërarchie met betrekking tot de verschillende factoren. </w:t>
      </w:r>
      <w:r w:rsidR="00B424FC" w:rsidRPr="00B424FC">
        <w:rPr>
          <w:sz w:val="22"/>
          <w:lang w:val="nl-NL"/>
        </w:rPr>
        <w:t>Vaak is het een combinatie van factoren die de doorslag geeft om opmerkingen in te dienen.</w:t>
      </w:r>
    </w:p>
    <w:p w:rsidR="00B25F61" w:rsidRDefault="00B25F61" w:rsidP="00483F56">
      <w:pPr>
        <w:pStyle w:val="ListParagraph"/>
        <w:ind w:left="1440"/>
        <w:jc w:val="both"/>
        <w:rPr>
          <w:sz w:val="22"/>
          <w:lang w:val="nl-NL"/>
        </w:rPr>
      </w:pPr>
    </w:p>
    <w:p w:rsidR="004D0D9E" w:rsidRPr="00507DA9" w:rsidRDefault="004D0D9E" w:rsidP="00483F56">
      <w:pPr>
        <w:pStyle w:val="ListParagraph"/>
        <w:numPr>
          <w:ilvl w:val="0"/>
          <w:numId w:val="16"/>
        </w:numPr>
        <w:jc w:val="both"/>
        <w:rPr>
          <w:i/>
          <w:color w:val="0070C0"/>
          <w:sz w:val="22"/>
          <w:lang w:val="nl-NL"/>
        </w:rPr>
      </w:pPr>
      <w:r w:rsidRPr="00507DA9">
        <w:rPr>
          <w:i/>
          <w:color w:val="0070C0"/>
          <w:sz w:val="22"/>
          <w:lang w:val="nl-NL"/>
        </w:rPr>
        <w:t>De prejudiciële vraag is afkomstig van een Nederlandse rechter</w:t>
      </w:r>
    </w:p>
    <w:p w:rsidR="00FF308D" w:rsidRDefault="00FF308D" w:rsidP="00483F56">
      <w:pPr>
        <w:pStyle w:val="ListParagraph"/>
        <w:ind w:left="2160"/>
        <w:jc w:val="both"/>
        <w:rPr>
          <w:sz w:val="22"/>
          <w:lang w:val="nl-NL"/>
        </w:rPr>
      </w:pPr>
    </w:p>
    <w:p w:rsidR="001620EC" w:rsidRPr="001620EC" w:rsidRDefault="00D8276E" w:rsidP="00483F56">
      <w:pPr>
        <w:pStyle w:val="ListParagraph"/>
        <w:ind w:left="2160"/>
        <w:jc w:val="both"/>
        <w:rPr>
          <w:sz w:val="22"/>
          <w:lang w:val="nl-NL"/>
        </w:rPr>
      </w:pPr>
      <w:r>
        <w:rPr>
          <w:sz w:val="22"/>
          <w:lang w:val="nl-NL"/>
        </w:rPr>
        <w:t>Bij v</w:t>
      </w:r>
      <w:r w:rsidR="002F6B60">
        <w:rPr>
          <w:sz w:val="22"/>
          <w:lang w:val="nl-NL"/>
        </w:rPr>
        <w:t>erwijzingen van Nederlandse rechters</w:t>
      </w:r>
      <w:r w:rsidR="001620EC">
        <w:rPr>
          <w:sz w:val="22"/>
          <w:lang w:val="nl-NL"/>
        </w:rPr>
        <w:t xml:space="preserve"> </w:t>
      </w:r>
      <w:r w:rsidRPr="00D8276E">
        <w:rPr>
          <w:sz w:val="22"/>
          <w:lang w:val="nl-NL"/>
        </w:rPr>
        <w:t xml:space="preserve">dient de Nederlandse regering in beginsel opmerkingen in. </w:t>
      </w:r>
      <w:r>
        <w:rPr>
          <w:sz w:val="22"/>
          <w:lang w:val="nl-NL"/>
        </w:rPr>
        <w:t xml:space="preserve">Dit </w:t>
      </w:r>
      <w:r w:rsidR="00B424FC">
        <w:rPr>
          <w:sz w:val="22"/>
          <w:lang w:val="nl-NL"/>
        </w:rPr>
        <w:t xml:space="preserve">geldt in ieder geval voor zaken </w:t>
      </w:r>
      <w:r w:rsidR="001620EC" w:rsidRPr="001620EC">
        <w:rPr>
          <w:sz w:val="22"/>
          <w:lang w:val="nl-NL"/>
        </w:rPr>
        <w:t xml:space="preserve">waarbij </w:t>
      </w:r>
      <w:r w:rsidR="00B424FC">
        <w:rPr>
          <w:sz w:val="22"/>
          <w:lang w:val="nl-NL"/>
        </w:rPr>
        <w:t xml:space="preserve">Nederlandse wetgeving, beleid of uitvoeringspraktijk in het geding is. </w:t>
      </w:r>
    </w:p>
    <w:p w:rsidR="00CB3539" w:rsidRDefault="00D8276E" w:rsidP="00483F56">
      <w:pPr>
        <w:pStyle w:val="ListParagraph"/>
        <w:ind w:left="2160"/>
        <w:jc w:val="both"/>
        <w:rPr>
          <w:sz w:val="22"/>
          <w:lang w:val="nl-NL"/>
        </w:rPr>
      </w:pPr>
      <w:r>
        <w:rPr>
          <w:sz w:val="22"/>
          <w:lang w:val="nl-NL"/>
        </w:rPr>
        <w:t xml:space="preserve">Het is in dat geval altijd </w:t>
      </w:r>
      <w:r w:rsidR="00CB3539">
        <w:rPr>
          <w:sz w:val="22"/>
          <w:lang w:val="nl-NL"/>
        </w:rPr>
        <w:t xml:space="preserve">in </w:t>
      </w:r>
      <w:r>
        <w:rPr>
          <w:sz w:val="22"/>
          <w:lang w:val="nl-NL"/>
        </w:rPr>
        <w:t xml:space="preserve">het belang van Nederland </w:t>
      </w:r>
      <w:r w:rsidR="002F6B60">
        <w:rPr>
          <w:sz w:val="22"/>
          <w:lang w:val="nl-NL"/>
        </w:rPr>
        <w:t xml:space="preserve">om het Hof uitleg te geven over de </w:t>
      </w:r>
      <w:r w:rsidR="001620EC">
        <w:rPr>
          <w:sz w:val="22"/>
          <w:lang w:val="nl-NL"/>
        </w:rPr>
        <w:t>nationale</w:t>
      </w:r>
      <w:r w:rsidR="002F6B60">
        <w:rPr>
          <w:sz w:val="22"/>
          <w:lang w:val="nl-NL"/>
        </w:rPr>
        <w:t xml:space="preserve"> </w:t>
      </w:r>
      <w:r w:rsidR="001620EC">
        <w:rPr>
          <w:sz w:val="22"/>
          <w:lang w:val="nl-NL"/>
        </w:rPr>
        <w:t>wetgeving</w:t>
      </w:r>
      <w:r w:rsidR="002F6B60">
        <w:rPr>
          <w:sz w:val="22"/>
          <w:lang w:val="nl-NL"/>
        </w:rPr>
        <w:t xml:space="preserve"> of uitvoeringspraktijk, in aanvulling </w:t>
      </w:r>
      <w:r w:rsidR="00EA411E">
        <w:rPr>
          <w:sz w:val="22"/>
          <w:lang w:val="nl-NL"/>
        </w:rPr>
        <w:t xml:space="preserve">op </w:t>
      </w:r>
      <w:r w:rsidR="002F6B60">
        <w:rPr>
          <w:sz w:val="22"/>
          <w:lang w:val="nl-NL"/>
        </w:rPr>
        <w:t xml:space="preserve">wat hierover door de verwijzende rechter in de verwijzingsbeschikking is opgeschreven. </w:t>
      </w:r>
      <w:r w:rsidR="002F6B60" w:rsidRPr="002F6B60">
        <w:rPr>
          <w:sz w:val="22"/>
          <w:lang w:val="nl-NL"/>
        </w:rPr>
        <w:t xml:space="preserve">Daarbij moet ook in aanmerking worden genomen dat het Hof altijd gebaat is bij een uiteenzetting door de lidstaat </w:t>
      </w:r>
      <w:r w:rsidR="00955595">
        <w:rPr>
          <w:sz w:val="22"/>
          <w:lang w:val="nl-NL"/>
        </w:rPr>
        <w:t xml:space="preserve">zelf </w:t>
      </w:r>
      <w:r w:rsidR="002F6B60" w:rsidRPr="002F6B60">
        <w:rPr>
          <w:sz w:val="22"/>
          <w:lang w:val="nl-NL"/>
        </w:rPr>
        <w:t xml:space="preserve">van de betrokken nationale regelgeving om tot een goede beantwoording van de vragen te kunnen komen. </w:t>
      </w:r>
    </w:p>
    <w:p w:rsidR="00483F56" w:rsidRDefault="00483F56" w:rsidP="00483F56">
      <w:pPr>
        <w:pStyle w:val="ListParagraph"/>
        <w:ind w:left="2160"/>
        <w:jc w:val="both"/>
        <w:rPr>
          <w:sz w:val="22"/>
          <w:lang w:val="nl-NL"/>
        </w:rPr>
      </w:pPr>
    </w:p>
    <w:p w:rsidR="00F37D94" w:rsidRDefault="00C4537E" w:rsidP="00483F56">
      <w:pPr>
        <w:pStyle w:val="ListParagraph"/>
        <w:pBdr>
          <w:top w:val="single" w:sz="4" w:space="1" w:color="auto"/>
          <w:left w:val="single" w:sz="4" w:space="4" w:color="auto"/>
          <w:bottom w:val="single" w:sz="4" w:space="1" w:color="auto"/>
          <w:right w:val="single" w:sz="4" w:space="4" w:color="auto"/>
        </w:pBdr>
        <w:ind w:left="2160"/>
        <w:jc w:val="both"/>
        <w:rPr>
          <w:sz w:val="22"/>
          <w:lang w:val="nl-NL"/>
        </w:rPr>
      </w:pPr>
      <w:r w:rsidRPr="00C4537E">
        <w:rPr>
          <w:sz w:val="22"/>
          <w:lang w:val="nl-NL"/>
        </w:rPr>
        <w:t xml:space="preserve">Voorbeelden </w:t>
      </w:r>
      <w:r w:rsidR="00C94AA7">
        <w:rPr>
          <w:sz w:val="22"/>
          <w:lang w:val="nl-NL"/>
        </w:rPr>
        <w:t>in deze categorie zijn</w:t>
      </w:r>
      <w:r w:rsidR="00125ABB">
        <w:rPr>
          <w:sz w:val="22"/>
          <w:lang w:val="nl-NL"/>
        </w:rPr>
        <w:t xml:space="preserve">: </w:t>
      </w:r>
    </w:p>
    <w:p w:rsidR="00F37D94" w:rsidRPr="00BC119A" w:rsidRDefault="00125ABB" w:rsidP="00483F56">
      <w:pPr>
        <w:pBdr>
          <w:top w:val="single" w:sz="4" w:space="1" w:color="auto"/>
          <w:left w:val="single" w:sz="4" w:space="4" w:color="auto"/>
          <w:bottom w:val="single" w:sz="4" w:space="1" w:color="auto"/>
          <w:right w:val="single" w:sz="4" w:space="4" w:color="auto"/>
        </w:pBdr>
        <w:ind w:left="2160"/>
        <w:jc w:val="both"/>
        <w:rPr>
          <w:sz w:val="22"/>
          <w:lang w:val="nl-NL"/>
        </w:rPr>
      </w:pPr>
      <w:r w:rsidRPr="00BC119A">
        <w:rPr>
          <w:sz w:val="22"/>
          <w:lang w:val="nl-NL"/>
        </w:rPr>
        <w:lastRenderedPageBreak/>
        <w:t xml:space="preserve">Vragen </w:t>
      </w:r>
      <w:r w:rsidR="00D70C92">
        <w:rPr>
          <w:sz w:val="22"/>
          <w:lang w:val="nl-NL"/>
        </w:rPr>
        <w:t xml:space="preserve">van Nederlandse rechters </w:t>
      </w:r>
      <w:r w:rsidRPr="00BC119A">
        <w:rPr>
          <w:sz w:val="22"/>
          <w:lang w:val="nl-NL"/>
        </w:rPr>
        <w:t xml:space="preserve">over </w:t>
      </w:r>
      <w:r w:rsidR="00C4537E" w:rsidRPr="00BC119A">
        <w:rPr>
          <w:sz w:val="22"/>
          <w:lang w:val="nl-NL"/>
        </w:rPr>
        <w:t xml:space="preserve">de toepasselijkheid van het sociale zekerheidsstelsel op boorplatforms (C-347/10 </w:t>
      </w:r>
      <w:proofErr w:type="spellStart"/>
      <w:r w:rsidR="00C4537E" w:rsidRPr="00BC119A">
        <w:rPr>
          <w:sz w:val="22"/>
          <w:lang w:val="nl-NL"/>
        </w:rPr>
        <w:t>Salemink</w:t>
      </w:r>
      <w:proofErr w:type="spellEnd"/>
      <w:r w:rsidR="00C4537E" w:rsidRPr="00BC119A">
        <w:rPr>
          <w:sz w:val="22"/>
          <w:lang w:val="nl-NL"/>
        </w:rPr>
        <w:t xml:space="preserve">) en migrerende werknemers (C-485/09 </w:t>
      </w:r>
      <w:proofErr w:type="spellStart"/>
      <w:r w:rsidR="00C4537E" w:rsidRPr="00BC119A">
        <w:rPr>
          <w:sz w:val="22"/>
          <w:lang w:val="nl-NL"/>
        </w:rPr>
        <w:t>Akdas</w:t>
      </w:r>
      <w:proofErr w:type="spellEnd"/>
      <w:r w:rsidR="00C4537E" w:rsidRPr="00BC119A">
        <w:rPr>
          <w:sz w:val="22"/>
          <w:lang w:val="nl-NL"/>
        </w:rPr>
        <w:t xml:space="preserve">) </w:t>
      </w:r>
      <w:r w:rsidRPr="00BC119A">
        <w:rPr>
          <w:sz w:val="22"/>
          <w:lang w:val="nl-NL"/>
        </w:rPr>
        <w:t>en</w:t>
      </w:r>
      <w:r w:rsidR="00C4537E" w:rsidRPr="00BC119A">
        <w:rPr>
          <w:sz w:val="22"/>
          <w:lang w:val="nl-NL"/>
        </w:rPr>
        <w:t xml:space="preserve"> </w:t>
      </w:r>
      <w:r w:rsidR="00983D94">
        <w:rPr>
          <w:sz w:val="22"/>
          <w:lang w:val="nl-NL"/>
        </w:rPr>
        <w:t xml:space="preserve">toelaatbaarheid </w:t>
      </w:r>
      <w:proofErr w:type="spellStart"/>
      <w:r w:rsidR="00983D94">
        <w:rPr>
          <w:sz w:val="22"/>
          <w:lang w:val="nl-NL"/>
        </w:rPr>
        <w:t>van</w:t>
      </w:r>
      <w:r w:rsidR="00C4537E" w:rsidRPr="00BC119A">
        <w:rPr>
          <w:sz w:val="22"/>
          <w:lang w:val="nl-NL"/>
        </w:rPr>
        <w:t>verplichte</w:t>
      </w:r>
      <w:proofErr w:type="spellEnd"/>
      <w:r w:rsidR="00C4537E" w:rsidRPr="00BC119A">
        <w:rPr>
          <w:sz w:val="22"/>
          <w:lang w:val="nl-NL"/>
        </w:rPr>
        <w:t xml:space="preserve"> registratie als werkzoekende (C-435/10 van Ardennen).</w:t>
      </w:r>
    </w:p>
    <w:p w:rsidR="00F37D94" w:rsidRPr="00BC119A" w:rsidRDefault="00F37D94" w:rsidP="00483F56">
      <w:pPr>
        <w:pBdr>
          <w:top w:val="single" w:sz="4" w:space="1" w:color="auto"/>
          <w:left w:val="single" w:sz="4" w:space="4" w:color="auto"/>
          <w:bottom w:val="single" w:sz="4" w:space="1" w:color="auto"/>
          <w:right w:val="single" w:sz="4" w:space="4" w:color="auto"/>
        </w:pBdr>
        <w:ind w:left="2160"/>
        <w:jc w:val="both"/>
        <w:rPr>
          <w:sz w:val="22"/>
          <w:lang w:val="nl-NL"/>
        </w:rPr>
      </w:pPr>
      <w:r w:rsidRPr="00BC119A">
        <w:rPr>
          <w:sz w:val="22"/>
          <w:lang w:val="nl-NL"/>
        </w:rPr>
        <w:t xml:space="preserve">Vragen </w:t>
      </w:r>
      <w:r w:rsidR="00D70C92">
        <w:rPr>
          <w:sz w:val="22"/>
          <w:lang w:val="nl-NL"/>
        </w:rPr>
        <w:t xml:space="preserve">van Nederlandse rechters </w:t>
      </w:r>
      <w:r w:rsidR="00C4537E" w:rsidRPr="00BC119A">
        <w:rPr>
          <w:sz w:val="22"/>
          <w:lang w:val="nl-NL"/>
        </w:rPr>
        <w:t>of belastingmaatregelen in overeenstemming zijn met het recht van vrije vestiging (bijvoorbeeld C-337/08 X Holding BV, verschil behandeling tussen ingezeten moeder en dochter ondernemingen en moeder met niet ingezeten dochteronderneming) dan wel het vrij verkeer van personen (C-578/10 Van Putten, BPM op auto’s)</w:t>
      </w:r>
      <w:r w:rsidR="00C94AA7" w:rsidRPr="00BC119A">
        <w:rPr>
          <w:sz w:val="22"/>
          <w:lang w:val="nl-NL"/>
        </w:rPr>
        <w:t>.</w:t>
      </w:r>
      <w:r w:rsidR="00C4537E" w:rsidRPr="00BC119A">
        <w:rPr>
          <w:sz w:val="22"/>
          <w:lang w:val="nl-NL"/>
        </w:rPr>
        <w:t xml:space="preserve"> </w:t>
      </w:r>
    </w:p>
    <w:p w:rsidR="00C4537E" w:rsidRPr="00BC119A" w:rsidRDefault="00F37D94" w:rsidP="00483F56">
      <w:pPr>
        <w:pBdr>
          <w:top w:val="single" w:sz="4" w:space="1" w:color="auto"/>
          <w:left w:val="single" w:sz="4" w:space="4" w:color="auto"/>
          <w:bottom w:val="single" w:sz="4" w:space="1" w:color="auto"/>
          <w:right w:val="single" w:sz="4" w:space="4" w:color="auto"/>
        </w:pBdr>
        <w:ind w:left="2160"/>
        <w:jc w:val="both"/>
        <w:rPr>
          <w:sz w:val="22"/>
          <w:lang w:val="nl-NL"/>
        </w:rPr>
      </w:pPr>
      <w:r w:rsidRPr="00BC119A">
        <w:rPr>
          <w:sz w:val="22"/>
          <w:lang w:val="nl-NL"/>
        </w:rPr>
        <w:t xml:space="preserve">Vragen </w:t>
      </w:r>
      <w:r w:rsidR="00D70C92">
        <w:rPr>
          <w:sz w:val="22"/>
          <w:lang w:val="nl-NL"/>
        </w:rPr>
        <w:t xml:space="preserve">van Nederlandse rechters </w:t>
      </w:r>
      <w:r w:rsidR="00C4537E" w:rsidRPr="00BC119A">
        <w:rPr>
          <w:sz w:val="22"/>
          <w:lang w:val="nl-NL"/>
        </w:rPr>
        <w:t xml:space="preserve">op het gebied van asiel en migratie </w:t>
      </w:r>
      <w:r w:rsidR="00D70C92">
        <w:rPr>
          <w:sz w:val="22"/>
          <w:lang w:val="nl-NL"/>
        </w:rPr>
        <w:t xml:space="preserve">zoals over </w:t>
      </w:r>
      <w:r w:rsidR="00C4537E" w:rsidRPr="00BC119A">
        <w:rPr>
          <w:sz w:val="22"/>
          <w:lang w:val="nl-NL"/>
        </w:rPr>
        <w:t xml:space="preserve">de inkomenseis bij gezinshereniging (C-578/08 </w:t>
      </w:r>
      <w:proofErr w:type="spellStart"/>
      <w:r w:rsidR="00C4537E" w:rsidRPr="00BC119A">
        <w:rPr>
          <w:sz w:val="22"/>
          <w:lang w:val="nl-NL"/>
        </w:rPr>
        <w:t>Chakroun</w:t>
      </w:r>
      <w:proofErr w:type="spellEnd"/>
      <w:r w:rsidR="00C4537E" w:rsidRPr="00BC119A">
        <w:rPr>
          <w:sz w:val="22"/>
          <w:lang w:val="nl-NL"/>
        </w:rPr>
        <w:t>).</w:t>
      </w:r>
    </w:p>
    <w:p w:rsidR="00D70C92" w:rsidRPr="00D70C92" w:rsidRDefault="00D70C92" w:rsidP="00D519F6">
      <w:pPr>
        <w:pStyle w:val="ListParagraph"/>
        <w:ind w:left="2160"/>
        <w:jc w:val="both"/>
        <w:rPr>
          <w:sz w:val="22"/>
          <w:lang w:val="nl-NL"/>
        </w:rPr>
      </w:pPr>
      <w:r w:rsidRPr="00D70C92">
        <w:rPr>
          <w:sz w:val="22"/>
          <w:lang w:val="nl-NL"/>
        </w:rPr>
        <w:t>Op deze basisregel zijn wel uitzonderingen mogelijk. Bijvoorbeeld wanneer het een zaak tussen particulieren betreft. Dit is bijvoorbeeld vaak het geval bij geschillen over intellectuele eigendom zoals merkenzaken. Deelname in dergelijke zaken is niet uitgesloten maar de andere factoren dan de Nederlandse herkomst van de vragen zullen dan de doorslag geven.</w:t>
      </w:r>
    </w:p>
    <w:p w:rsidR="00CB3539" w:rsidRDefault="00CB3539" w:rsidP="00483F56">
      <w:pPr>
        <w:pStyle w:val="ListParagraph"/>
        <w:ind w:left="2160"/>
        <w:jc w:val="both"/>
        <w:rPr>
          <w:sz w:val="22"/>
          <w:lang w:val="nl-NL"/>
        </w:rPr>
      </w:pPr>
    </w:p>
    <w:p w:rsidR="000256E8" w:rsidRPr="000256E8" w:rsidRDefault="004D0D9E" w:rsidP="00483F56">
      <w:pPr>
        <w:pStyle w:val="ListParagraph"/>
        <w:numPr>
          <w:ilvl w:val="0"/>
          <w:numId w:val="16"/>
        </w:numPr>
        <w:jc w:val="both"/>
        <w:rPr>
          <w:i/>
          <w:sz w:val="22"/>
          <w:lang w:val="nl-NL"/>
        </w:rPr>
      </w:pPr>
      <w:r w:rsidRPr="004D6657">
        <w:rPr>
          <w:i/>
          <w:color w:val="0070C0"/>
          <w:sz w:val="22"/>
          <w:lang w:val="nl-NL"/>
        </w:rPr>
        <w:t>De uit</w:t>
      </w:r>
      <w:r w:rsidR="001620EC">
        <w:rPr>
          <w:i/>
          <w:color w:val="0070C0"/>
          <w:sz w:val="22"/>
          <w:lang w:val="nl-NL"/>
        </w:rPr>
        <w:t xml:space="preserve">spraak van het Hof </w:t>
      </w:r>
      <w:r w:rsidRPr="004D6657">
        <w:rPr>
          <w:i/>
          <w:color w:val="0070C0"/>
          <w:sz w:val="22"/>
          <w:lang w:val="nl-NL"/>
        </w:rPr>
        <w:t xml:space="preserve">kan leiden tot aanpassingen van </w:t>
      </w:r>
      <w:r w:rsidRPr="00507DA9">
        <w:rPr>
          <w:i/>
          <w:color w:val="0070C0"/>
          <w:sz w:val="22"/>
          <w:lang w:val="nl-NL"/>
        </w:rPr>
        <w:t>Nederlandse wet- of regelgeving</w:t>
      </w:r>
      <w:r w:rsidR="00D70C92">
        <w:rPr>
          <w:i/>
          <w:color w:val="0070C0"/>
          <w:sz w:val="22"/>
          <w:lang w:val="nl-NL"/>
        </w:rPr>
        <w:t>.</w:t>
      </w:r>
    </w:p>
    <w:p w:rsidR="00955595" w:rsidRDefault="00955595" w:rsidP="00483F56">
      <w:pPr>
        <w:pStyle w:val="ListParagraph"/>
        <w:ind w:left="2160"/>
        <w:jc w:val="both"/>
        <w:rPr>
          <w:i/>
          <w:color w:val="0070C0"/>
          <w:sz w:val="22"/>
          <w:lang w:val="nl-NL"/>
        </w:rPr>
      </w:pPr>
    </w:p>
    <w:p w:rsidR="00BB45B5" w:rsidRDefault="00EA411E" w:rsidP="00483F56">
      <w:pPr>
        <w:pStyle w:val="ListParagraph"/>
        <w:ind w:left="2160"/>
        <w:jc w:val="both"/>
        <w:rPr>
          <w:sz w:val="22"/>
          <w:lang w:val="nl-NL"/>
        </w:rPr>
      </w:pPr>
      <w:r>
        <w:rPr>
          <w:sz w:val="22"/>
          <w:lang w:val="nl-NL"/>
        </w:rPr>
        <w:t>Als uit de verwijzingsbeschikking en</w:t>
      </w:r>
      <w:r w:rsidR="00C94AA7">
        <w:rPr>
          <w:sz w:val="22"/>
          <w:lang w:val="nl-NL"/>
        </w:rPr>
        <w:t>/of</w:t>
      </w:r>
      <w:r>
        <w:rPr>
          <w:sz w:val="22"/>
          <w:lang w:val="nl-NL"/>
        </w:rPr>
        <w:t xml:space="preserve"> de vragen </w:t>
      </w:r>
      <w:r w:rsidR="00C94AA7">
        <w:rPr>
          <w:sz w:val="22"/>
          <w:lang w:val="nl-NL"/>
        </w:rPr>
        <w:t>kan worden opgemaakt</w:t>
      </w:r>
      <w:r>
        <w:rPr>
          <w:sz w:val="22"/>
          <w:lang w:val="nl-NL"/>
        </w:rPr>
        <w:t xml:space="preserve"> dat een uitspraak kan leiden tot aanpassingen van Nederlandse wet-of regelgeving </w:t>
      </w:r>
      <w:r w:rsidR="00C16F05">
        <w:rPr>
          <w:sz w:val="22"/>
          <w:lang w:val="nl-NL"/>
        </w:rPr>
        <w:t>is dit een reden voor</w:t>
      </w:r>
      <w:r>
        <w:rPr>
          <w:sz w:val="22"/>
          <w:lang w:val="nl-NL"/>
        </w:rPr>
        <w:t xml:space="preserve"> de Nederlandse regering </w:t>
      </w:r>
      <w:r w:rsidR="00C16F05">
        <w:rPr>
          <w:sz w:val="22"/>
          <w:lang w:val="nl-NL"/>
        </w:rPr>
        <w:t xml:space="preserve">om </w:t>
      </w:r>
      <w:r>
        <w:rPr>
          <w:sz w:val="22"/>
          <w:lang w:val="nl-NL"/>
        </w:rPr>
        <w:t>opmerkingen in</w:t>
      </w:r>
      <w:r w:rsidR="00C16F05">
        <w:rPr>
          <w:sz w:val="22"/>
          <w:lang w:val="nl-NL"/>
        </w:rPr>
        <w:t xml:space="preserve"> te dienen</w:t>
      </w:r>
      <w:r>
        <w:rPr>
          <w:sz w:val="22"/>
          <w:lang w:val="nl-NL"/>
        </w:rPr>
        <w:t xml:space="preserve">. </w:t>
      </w:r>
      <w:r w:rsidR="00955595" w:rsidRPr="00C85C64">
        <w:rPr>
          <w:sz w:val="22"/>
          <w:lang w:val="nl-NL"/>
        </w:rPr>
        <w:t>Het Nederlands belang is dan om een</w:t>
      </w:r>
      <w:r w:rsidR="00C1784A" w:rsidRPr="00C85C64">
        <w:rPr>
          <w:sz w:val="22"/>
          <w:lang w:val="nl-NL"/>
        </w:rPr>
        <w:t xml:space="preserve"> interpretatie </w:t>
      </w:r>
      <w:r w:rsidR="00955595" w:rsidRPr="00C85C64">
        <w:rPr>
          <w:sz w:val="22"/>
          <w:lang w:val="nl-NL"/>
        </w:rPr>
        <w:t>van het U</w:t>
      </w:r>
      <w:r w:rsidR="00C1784A" w:rsidRPr="00C85C64">
        <w:rPr>
          <w:sz w:val="22"/>
          <w:lang w:val="nl-NL"/>
        </w:rPr>
        <w:t>nierecht</w:t>
      </w:r>
      <w:r w:rsidR="00955595" w:rsidRPr="00C85C64">
        <w:rPr>
          <w:sz w:val="22"/>
          <w:lang w:val="nl-NL"/>
        </w:rPr>
        <w:t xml:space="preserve"> te geven </w:t>
      </w:r>
      <w:r w:rsidR="00C1784A" w:rsidRPr="00C85C64">
        <w:rPr>
          <w:sz w:val="22"/>
          <w:lang w:val="nl-NL"/>
        </w:rPr>
        <w:t xml:space="preserve">op </w:t>
      </w:r>
      <w:r w:rsidR="00955595" w:rsidRPr="00C85C64">
        <w:rPr>
          <w:sz w:val="22"/>
          <w:lang w:val="nl-NL"/>
        </w:rPr>
        <w:t xml:space="preserve">een </w:t>
      </w:r>
      <w:r w:rsidR="00C1784A" w:rsidRPr="00C85C64">
        <w:rPr>
          <w:sz w:val="22"/>
          <w:lang w:val="nl-NL"/>
        </w:rPr>
        <w:t xml:space="preserve">wijze die zorgt dat nationale wet – en regelgeving in stand kan blijven. </w:t>
      </w:r>
      <w:r w:rsidR="000E0AA9">
        <w:rPr>
          <w:sz w:val="22"/>
          <w:lang w:val="nl-NL"/>
        </w:rPr>
        <w:t xml:space="preserve">Dit geldt zowel voor vragen van Nederlandse rechters als die van rechters uit andere lidstaten. Uitspraken van het Hof in zaken afkomstig uit andere lidstaten zijn immers ook bindend voor Nederland. </w:t>
      </w:r>
    </w:p>
    <w:p w:rsidR="00BB45B5" w:rsidRDefault="00BB45B5" w:rsidP="00483F56">
      <w:pPr>
        <w:pStyle w:val="ListParagraph"/>
        <w:ind w:left="2160"/>
        <w:jc w:val="both"/>
        <w:rPr>
          <w:sz w:val="22"/>
          <w:lang w:val="nl-NL"/>
        </w:rPr>
      </w:pPr>
    </w:p>
    <w:p w:rsidR="00955595" w:rsidRPr="00955595" w:rsidRDefault="00955595" w:rsidP="00483F56">
      <w:pPr>
        <w:pStyle w:val="ListParagraph"/>
        <w:ind w:left="2160"/>
        <w:jc w:val="both"/>
        <w:rPr>
          <w:sz w:val="22"/>
          <w:lang w:val="nl-NL"/>
        </w:rPr>
      </w:pPr>
      <w:r w:rsidRPr="00C85C64">
        <w:rPr>
          <w:sz w:val="22"/>
          <w:lang w:val="nl-NL"/>
        </w:rPr>
        <w:t>Bij vragen van een Nederlandse rechter geldt</w:t>
      </w:r>
      <w:r w:rsidR="00C16F05">
        <w:rPr>
          <w:sz w:val="22"/>
          <w:lang w:val="nl-NL"/>
        </w:rPr>
        <w:t xml:space="preserve"> wat onder</w:t>
      </w:r>
      <w:r w:rsidR="00C1328E">
        <w:rPr>
          <w:sz w:val="22"/>
          <w:lang w:val="nl-NL"/>
        </w:rPr>
        <w:t xml:space="preserve"> a) </w:t>
      </w:r>
      <w:r w:rsidR="00C16F05">
        <w:rPr>
          <w:sz w:val="22"/>
          <w:lang w:val="nl-NL"/>
        </w:rPr>
        <w:t xml:space="preserve">hierboven staat. </w:t>
      </w:r>
    </w:p>
    <w:p w:rsidR="00AB30D6" w:rsidRDefault="00AB30D6" w:rsidP="00483F56">
      <w:pPr>
        <w:pStyle w:val="ListParagraph"/>
        <w:ind w:left="2160"/>
        <w:jc w:val="both"/>
        <w:rPr>
          <w:sz w:val="22"/>
          <w:lang w:val="nl-NL"/>
        </w:rPr>
      </w:pPr>
    </w:p>
    <w:p w:rsidR="002926B5" w:rsidRDefault="00C16F05" w:rsidP="000B2DC7">
      <w:pPr>
        <w:pStyle w:val="ListParagraph"/>
        <w:ind w:left="2160"/>
        <w:jc w:val="both"/>
        <w:rPr>
          <w:sz w:val="22"/>
          <w:lang w:val="nl-NL"/>
        </w:rPr>
      </w:pPr>
      <w:r w:rsidRPr="00BC119A">
        <w:rPr>
          <w:sz w:val="22"/>
          <w:lang w:val="nl-NL"/>
        </w:rPr>
        <w:t>Bij vragen van</w:t>
      </w:r>
      <w:r w:rsidR="00483F56">
        <w:rPr>
          <w:sz w:val="22"/>
          <w:lang w:val="nl-NL"/>
        </w:rPr>
        <w:t xml:space="preserve"> </w:t>
      </w:r>
      <w:r w:rsidR="002106D3" w:rsidRPr="00BC119A">
        <w:rPr>
          <w:sz w:val="22"/>
          <w:lang w:val="nl-NL"/>
        </w:rPr>
        <w:t xml:space="preserve">rechters uit andere lidstaten </w:t>
      </w:r>
      <w:r w:rsidR="000E0AA9" w:rsidRPr="00BC119A">
        <w:rPr>
          <w:sz w:val="22"/>
          <w:lang w:val="nl-NL"/>
        </w:rPr>
        <w:t>over de uitleg van het Unierecht</w:t>
      </w:r>
      <w:r w:rsidR="00BB45B5">
        <w:rPr>
          <w:sz w:val="22"/>
          <w:lang w:val="nl-NL"/>
        </w:rPr>
        <w:t xml:space="preserve"> </w:t>
      </w:r>
      <w:r w:rsidR="002926B5">
        <w:rPr>
          <w:sz w:val="22"/>
          <w:lang w:val="nl-NL"/>
        </w:rPr>
        <w:t>kan het feit dat d</w:t>
      </w:r>
      <w:r w:rsidR="006068B1" w:rsidRPr="00BC119A">
        <w:rPr>
          <w:sz w:val="22"/>
          <w:lang w:val="nl-NL"/>
        </w:rPr>
        <w:t xml:space="preserve">e regelgeving in de andere lidstaat </w:t>
      </w:r>
      <w:r w:rsidR="000B2DC7">
        <w:rPr>
          <w:sz w:val="22"/>
          <w:lang w:val="nl-NL"/>
        </w:rPr>
        <w:t xml:space="preserve">overeenkomsten </w:t>
      </w:r>
      <w:r w:rsidR="006068B1" w:rsidRPr="00BC119A">
        <w:rPr>
          <w:sz w:val="22"/>
          <w:lang w:val="nl-NL"/>
        </w:rPr>
        <w:t>verto</w:t>
      </w:r>
      <w:r w:rsidR="000E0AA9" w:rsidRPr="00BC119A">
        <w:rPr>
          <w:sz w:val="22"/>
          <w:lang w:val="nl-NL"/>
        </w:rPr>
        <w:t>o</w:t>
      </w:r>
      <w:r w:rsidR="006068B1" w:rsidRPr="00BC119A">
        <w:rPr>
          <w:sz w:val="22"/>
          <w:lang w:val="nl-NL"/>
        </w:rPr>
        <w:t>n</w:t>
      </w:r>
      <w:r w:rsidR="00BB45B5">
        <w:rPr>
          <w:sz w:val="22"/>
          <w:lang w:val="nl-NL"/>
        </w:rPr>
        <w:t xml:space="preserve">t </w:t>
      </w:r>
      <w:r w:rsidR="006068B1" w:rsidRPr="00BC119A">
        <w:rPr>
          <w:sz w:val="22"/>
          <w:lang w:val="nl-NL"/>
        </w:rPr>
        <w:t>met de Nederlandse regelgeving</w:t>
      </w:r>
      <w:r w:rsidR="002926B5">
        <w:rPr>
          <w:sz w:val="22"/>
          <w:lang w:val="nl-NL"/>
        </w:rPr>
        <w:t>, een overweging zijn om mee te doen</w:t>
      </w:r>
      <w:r w:rsidR="00BB45B5">
        <w:rPr>
          <w:sz w:val="22"/>
          <w:lang w:val="nl-NL"/>
        </w:rPr>
        <w:t>.</w:t>
      </w:r>
      <w:r w:rsidR="000E0AA9" w:rsidRPr="00BC119A">
        <w:rPr>
          <w:sz w:val="22"/>
          <w:lang w:val="nl-NL"/>
        </w:rPr>
        <w:t xml:space="preserve"> </w:t>
      </w:r>
      <w:r w:rsidR="002926B5">
        <w:rPr>
          <w:sz w:val="22"/>
          <w:lang w:val="nl-NL"/>
        </w:rPr>
        <w:t xml:space="preserve">Het belang is </w:t>
      </w:r>
      <w:r w:rsidR="00090759" w:rsidRPr="00BC119A">
        <w:rPr>
          <w:sz w:val="22"/>
          <w:lang w:val="nl-NL"/>
        </w:rPr>
        <w:t xml:space="preserve">om voor een uitleg te pleiten die ruimte laat voor de Nederlandse wijze van </w:t>
      </w:r>
      <w:proofErr w:type="gramStart"/>
      <w:r w:rsidR="00090759" w:rsidRPr="00BC119A">
        <w:rPr>
          <w:sz w:val="22"/>
          <w:lang w:val="nl-NL"/>
        </w:rPr>
        <w:t>implementatie</w:t>
      </w:r>
      <w:proofErr w:type="gramEnd"/>
      <w:r w:rsidR="00090759" w:rsidRPr="00BC119A">
        <w:rPr>
          <w:sz w:val="22"/>
          <w:lang w:val="nl-NL"/>
        </w:rPr>
        <w:t>.</w:t>
      </w:r>
    </w:p>
    <w:p w:rsidR="004B2F0E" w:rsidRDefault="004B2F0E" w:rsidP="00D519F6">
      <w:pPr>
        <w:pStyle w:val="ListParagraph"/>
        <w:ind w:left="2160"/>
        <w:jc w:val="both"/>
        <w:rPr>
          <w:sz w:val="22"/>
          <w:lang w:val="nl-NL"/>
        </w:rPr>
      </w:pPr>
    </w:p>
    <w:p w:rsidR="00090759" w:rsidRPr="00BC119A" w:rsidRDefault="004B2F0E" w:rsidP="00D519F6">
      <w:pPr>
        <w:pStyle w:val="ListParagraph"/>
        <w:pBdr>
          <w:top w:val="single" w:sz="4" w:space="1" w:color="auto"/>
          <w:left w:val="single" w:sz="4" w:space="4" w:color="auto"/>
          <w:bottom w:val="single" w:sz="4" w:space="1" w:color="auto"/>
          <w:right w:val="single" w:sz="4" w:space="4" w:color="auto"/>
        </w:pBdr>
        <w:ind w:left="2160"/>
        <w:jc w:val="both"/>
        <w:rPr>
          <w:sz w:val="22"/>
          <w:lang w:val="nl-NL"/>
        </w:rPr>
      </w:pPr>
      <w:r>
        <w:rPr>
          <w:sz w:val="22"/>
          <w:lang w:val="nl-NL"/>
        </w:rPr>
        <w:lastRenderedPageBreak/>
        <w:t xml:space="preserve">Voorbeelden in deze categorie zijn </w:t>
      </w:r>
      <w:r w:rsidR="002926B5">
        <w:rPr>
          <w:sz w:val="22"/>
          <w:lang w:val="nl-NL"/>
        </w:rPr>
        <w:t xml:space="preserve">zaken </w:t>
      </w:r>
      <w:r w:rsidR="006C2DFD">
        <w:rPr>
          <w:sz w:val="22"/>
          <w:lang w:val="nl-NL"/>
        </w:rPr>
        <w:t xml:space="preserve">over </w:t>
      </w:r>
      <w:r w:rsidR="00CF0770" w:rsidRPr="00BC119A">
        <w:rPr>
          <w:sz w:val="22"/>
          <w:lang w:val="nl-NL"/>
        </w:rPr>
        <w:t>het K</w:t>
      </w:r>
      <w:r w:rsidR="00090759" w:rsidRPr="00BC119A">
        <w:rPr>
          <w:sz w:val="22"/>
          <w:lang w:val="nl-NL"/>
        </w:rPr>
        <w:t>aderbesluit</w:t>
      </w:r>
      <w:r w:rsidR="00CF0770" w:rsidRPr="00BC119A">
        <w:rPr>
          <w:sz w:val="22"/>
          <w:lang w:val="nl-NL"/>
        </w:rPr>
        <w:t xml:space="preserve"> betreffende de status van slachtoffers in de strafprocedure (2001/220/JBZ)</w:t>
      </w:r>
      <w:r>
        <w:rPr>
          <w:sz w:val="22"/>
          <w:lang w:val="nl-NL"/>
        </w:rPr>
        <w:t xml:space="preserve">. De Nederlandse deelname </w:t>
      </w:r>
      <w:r w:rsidR="001709EA" w:rsidRPr="00BC119A">
        <w:rPr>
          <w:sz w:val="22"/>
          <w:lang w:val="nl-NL"/>
        </w:rPr>
        <w:t xml:space="preserve">waren </w:t>
      </w:r>
      <w:r w:rsidR="00CF0770" w:rsidRPr="00BC119A">
        <w:rPr>
          <w:sz w:val="22"/>
          <w:lang w:val="nl-NL"/>
        </w:rPr>
        <w:t xml:space="preserve">er onder andere op gericht te voorkomen dat het Kaderbesluit lidstaten verplicht tot het opleggen van bepaalde sancties (straatverbod in C-483/09 </w:t>
      </w:r>
      <w:proofErr w:type="spellStart"/>
      <w:r w:rsidR="00CF0770" w:rsidRPr="00BC119A">
        <w:rPr>
          <w:sz w:val="22"/>
          <w:lang w:val="nl-NL"/>
        </w:rPr>
        <w:t>Gueye</w:t>
      </w:r>
      <w:proofErr w:type="spellEnd"/>
      <w:r w:rsidR="00CF0770" w:rsidRPr="00BC119A">
        <w:rPr>
          <w:sz w:val="22"/>
          <w:lang w:val="nl-NL"/>
        </w:rPr>
        <w:t xml:space="preserve">) of </w:t>
      </w:r>
      <w:r w:rsidR="0090553B" w:rsidRPr="00BC119A">
        <w:rPr>
          <w:sz w:val="22"/>
          <w:lang w:val="nl-NL"/>
        </w:rPr>
        <w:t xml:space="preserve">om </w:t>
      </w:r>
      <w:r w:rsidR="00CF0770" w:rsidRPr="00BC119A">
        <w:rPr>
          <w:sz w:val="22"/>
          <w:lang w:val="nl-NL"/>
        </w:rPr>
        <w:t xml:space="preserve">het slachtoffer te horen </w:t>
      </w:r>
      <w:r w:rsidR="0090553B" w:rsidRPr="00BC119A">
        <w:rPr>
          <w:sz w:val="22"/>
          <w:lang w:val="nl-NL"/>
        </w:rPr>
        <w:t xml:space="preserve">tijdens het vooronderzoek </w:t>
      </w:r>
      <w:r w:rsidR="00CF0770" w:rsidRPr="00BC119A">
        <w:rPr>
          <w:sz w:val="22"/>
          <w:lang w:val="nl-NL"/>
        </w:rPr>
        <w:t>(C-507/10 X)</w:t>
      </w:r>
      <w:r w:rsidR="0090553B" w:rsidRPr="00BC119A">
        <w:rPr>
          <w:sz w:val="22"/>
          <w:lang w:val="nl-NL"/>
        </w:rPr>
        <w:t>.</w:t>
      </w:r>
      <w:r w:rsidR="002F6E8F" w:rsidRPr="00BC119A">
        <w:rPr>
          <w:sz w:val="22"/>
          <w:lang w:val="nl-NL"/>
        </w:rPr>
        <w:t xml:space="preserve"> </w:t>
      </w:r>
      <w:r w:rsidR="0090553B" w:rsidRPr="00BC119A">
        <w:rPr>
          <w:sz w:val="22"/>
          <w:lang w:val="nl-NL"/>
        </w:rPr>
        <w:t>Zoals Nederland had betoogd</w:t>
      </w:r>
      <w:r w:rsidR="00E57B8E" w:rsidRPr="00BC119A">
        <w:rPr>
          <w:sz w:val="22"/>
          <w:lang w:val="nl-NL"/>
        </w:rPr>
        <w:t>,</w:t>
      </w:r>
      <w:r w:rsidR="0090553B" w:rsidRPr="00BC119A">
        <w:rPr>
          <w:sz w:val="22"/>
          <w:lang w:val="nl-NL"/>
        </w:rPr>
        <w:t xml:space="preserve"> verplicht het Kaderbesluit niet tot dergelijke wetgeving.</w:t>
      </w:r>
      <w:r w:rsidR="00CF0770" w:rsidRPr="00BC119A">
        <w:rPr>
          <w:sz w:val="22"/>
          <w:lang w:val="nl-NL"/>
        </w:rPr>
        <w:t xml:space="preserve"> </w:t>
      </w:r>
    </w:p>
    <w:p w:rsidR="00495EF5" w:rsidRPr="000E0AA9" w:rsidRDefault="00495EF5" w:rsidP="00483F56">
      <w:pPr>
        <w:pStyle w:val="ListParagraph"/>
        <w:ind w:left="2160"/>
        <w:jc w:val="both"/>
        <w:rPr>
          <w:sz w:val="22"/>
          <w:lang w:val="nl-NL"/>
        </w:rPr>
      </w:pPr>
    </w:p>
    <w:p w:rsidR="000256E8" w:rsidRDefault="004D0D9E" w:rsidP="00483F56">
      <w:pPr>
        <w:pStyle w:val="ListParagraph"/>
        <w:numPr>
          <w:ilvl w:val="0"/>
          <w:numId w:val="16"/>
        </w:numPr>
        <w:jc w:val="both"/>
        <w:rPr>
          <w:i/>
          <w:color w:val="0070C0"/>
          <w:sz w:val="22"/>
          <w:lang w:val="nl-NL"/>
        </w:rPr>
      </w:pPr>
      <w:r w:rsidRPr="004D6657">
        <w:rPr>
          <w:i/>
          <w:color w:val="0070C0"/>
          <w:sz w:val="22"/>
          <w:lang w:val="nl-NL"/>
        </w:rPr>
        <w:t xml:space="preserve">De </w:t>
      </w:r>
      <w:r w:rsidR="001709EA" w:rsidRPr="004D6657">
        <w:rPr>
          <w:i/>
          <w:color w:val="0070C0"/>
          <w:sz w:val="22"/>
          <w:lang w:val="nl-NL"/>
        </w:rPr>
        <w:t>uit</w:t>
      </w:r>
      <w:r w:rsidR="001709EA">
        <w:rPr>
          <w:i/>
          <w:color w:val="0070C0"/>
          <w:sz w:val="22"/>
          <w:lang w:val="nl-NL"/>
        </w:rPr>
        <w:t xml:space="preserve">spraak </w:t>
      </w:r>
      <w:r w:rsidRPr="004D6657">
        <w:rPr>
          <w:i/>
          <w:color w:val="0070C0"/>
          <w:sz w:val="22"/>
          <w:lang w:val="nl-NL"/>
        </w:rPr>
        <w:t xml:space="preserve">kan </w:t>
      </w:r>
      <w:r w:rsidR="009D49A5">
        <w:rPr>
          <w:i/>
          <w:color w:val="0070C0"/>
          <w:sz w:val="22"/>
          <w:lang w:val="nl-NL"/>
        </w:rPr>
        <w:t>Nederland verplichten tot</w:t>
      </w:r>
      <w:r w:rsidR="00495EF5">
        <w:rPr>
          <w:i/>
          <w:color w:val="0070C0"/>
          <w:sz w:val="22"/>
          <w:lang w:val="nl-NL"/>
        </w:rPr>
        <w:t xml:space="preserve"> </w:t>
      </w:r>
      <w:r w:rsidR="009D49A5">
        <w:rPr>
          <w:i/>
          <w:color w:val="0070C0"/>
          <w:sz w:val="22"/>
          <w:lang w:val="nl-NL"/>
        </w:rPr>
        <w:t xml:space="preserve">wijziging van </w:t>
      </w:r>
      <w:r w:rsidR="00850B49" w:rsidRPr="004D6657">
        <w:rPr>
          <w:i/>
          <w:color w:val="0070C0"/>
          <w:sz w:val="22"/>
          <w:lang w:val="nl-NL"/>
        </w:rPr>
        <w:t xml:space="preserve">beleid </w:t>
      </w:r>
      <w:r w:rsidRPr="004D6657">
        <w:rPr>
          <w:i/>
          <w:color w:val="0070C0"/>
          <w:sz w:val="22"/>
          <w:lang w:val="nl-NL"/>
        </w:rPr>
        <w:t>of uitvoeringspraktijk</w:t>
      </w:r>
    </w:p>
    <w:p w:rsidR="000256E8" w:rsidRDefault="000256E8" w:rsidP="00483F56">
      <w:pPr>
        <w:pStyle w:val="ListParagraph"/>
        <w:ind w:left="2160"/>
        <w:jc w:val="both"/>
        <w:rPr>
          <w:i/>
          <w:color w:val="0070C0"/>
          <w:sz w:val="22"/>
          <w:lang w:val="nl-NL"/>
        </w:rPr>
      </w:pPr>
    </w:p>
    <w:p w:rsidR="00D519F6" w:rsidRDefault="002926B5" w:rsidP="00F9357F">
      <w:pPr>
        <w:pStyle w:val="ListParagraph"/>
        <w:ind w:left="2160"/>
        <w:jc w:val="both"/>
        <w:rPr>
          <w:sz w:val="22"/>
          <w:lang w:val="nl-NL"/>
        </w:rPr>
      </w:pPr>
      <w:r>
        <w:rPr>
          <w:sz w:val="22"/>
          <w:lang w:val="nl-NL"/>
        </w:rPr>
        <w:t>Een uitspraak van het Hof kan ook consequenties hebben voor</w:t>
      </w:r>
      <w:r w:rsidR="00164678">
        <w:rPr>
          <w:sz w:val="22"/>
          <w:lang w:val="nl-NL"/>
        </w:rPr>
        <w:t xml:space="preserve"> </w:t>
      </w:r>
      <w:r w:rsidR="004B2F0E">
        <w:rPr>
          <w:sz w:val="22"/>
          <w:lang w:val="nl-NL"/>
        </w:rPr>
        <w:t>het</w:t>
      </w:r>
      <w:r w:rsidR="00164678">
        <w:rPr>
          <w:sz w:val="22"/>
          <w:lang w:val="nl-NL"/>
        </w:rPr>
        <w:t xml:space="preserve"> </w:t>
      </w:r>
      <w:r w:rsidR="00476229">
        <w:rPr>
          <w:sz w:val="22"/>
          <w:lang w:val="nl-NL"/>
        </w:rPr>
        <w:t xml:space="preserve">Nederlandse beleid of </w:t>
      </w:r>
      <w:r w:rsidR="004B2F0E">
        <w:rPr>
          <w:sz w:val="22"/>
          <w:lang w:val="nl-NL"/>
        </w:rPr>
        <w:t xml:space="preserve">de Nederlandse </w:t>
      </w:r>
      <w:r w:rsidR="00476229">
        <w:rPr>
          <w:sz w:val="22"/>
          <w:lang w:val="nl-NL"/>
        </w:rPr>
        <w:t>uitvoeringspraktijk</w:t>
      </w:r>
      <w:r>
        <w:rPr>
          <w:sz w:val="22"/>
          <w:lang w:val="nl-NL"/>
        </w:rPr>
        <w:t>.</w:t>
      </w:r>
      <w:r w:rsidR="00476229">
        <w:rPr>
          <w:sz w:val="22"/>
          <w:lang w:val="nl-NL"/>
        </w:rPr>
        <w:t xml:space="preserve"> Te denken valt </w:t>
      </w:r>
      <w:r w:rsidR="009706C3" w:rsidRPr="000256E8">
        <w:rPr>
          <w:sz w:val="22"/>
          <w:lang w:val="nl-NL"/>
        </w:rPr>
        <w:t>aan specifiek</w:t>
      </w:r>
      <w:r w:rsidR="00A81B81" w:rsidRPr="000256E8">
        <w:rPr>
          <w:sz w:val="22"/>
          <w:lang w:val="nl-NL"/>
        </w:rPr>
        <w:t>e</w:t>
      </w:r>
      <w:r w:rsidR="009706C3" w:rsidRPr="000256E8">
        <w:rPr>
          <w:sz w:val="22"/>
          <w:lang w:val="nl-NL"/>
        </w:rPr>
        <w:t xml:space="preserve"> toepassing van nationale wetgeving in het licht van</w:t>
      </w:r>
      <w:r w:rsidR="007B5400">
        <w:rPr>
          <w:sz w:val="22"/>
          <w:lang w:val="nl-NL"/>
        </w:rPr>
        <w:t xml:space="preserve"> een </w:t>
      </w:r>
      <w:r w:rsidR="009706C3" w:rsidRPr="000256E8">
        <w:rPr>
          <w:sz w:val="22"/>
          <w:lang w:val="nl-NL"/>
        </w:rPr>
        <w:t>verordening</w:t>
      </w:r>
      <w:r w:rsidR="00164678">
        <w:rPr>
          <w:sz w:val="22"/>
          <w:lang w:val="nl-NL"/>
        </w:rPr>
        <w:t xml:space="preserve"> of </w:t>
      </w:r>
      <w:r w:rsidR="00164678" w:rsidRPr="00164678">
        <w:rPr>
          <w:sz w:val="22"/>
          <w:lang w:val="nl-NL"/>
        </w:rPr>
        <w:t>een richtlijn</w:t>
      </w:r>
      <w:r w:rsidR="00164678">
        <w:rPr>
          <w:sz w:val="22"/>
          <w:lang w:val="nl-NL"/>
        </w:rPr>
        <w:t>.</w:t>
      </w:r>
      <w:r w:rsidR="004B2F0E">
        <w:rPr>
          <w:sz w:val="22"/>
          <w:lang w:val="nl-NL"/>
        </w:rPr>
        <w:t xml:space="preserve"> </w:t>
      </w:r>
      <w:r w:rsidR="004B2F0E" w:rsidRPr="004B2F0E">
        <w:rPr>
          <w:sz w:val="22"/>
          <w:lang w:val="nl-NL"/>
        </w:rPr>
        <w:t>De nationale wijze van toepassing van richtlijnen kan aan de orde komen wanneer de uitleg van begrippen uit richtlijnen zijn overgenomen in de Nederlandse regelgeving</w:t>
      </w:r>
      <w:r w:rsidR="00D519F6">
        <w:rPr>
          <w:sz w:val="22"/>
          <w:lang w:val="nl-NL"/>
        </w:rPr>
        <w:t>.</w:t>
      </w:r>
    </w:p>
    <w:p w:rsidR="00D519F6" w:rsidRDefault="00D519F6" w:rsidP="00F9357F">
      <w:pPr>
        <w:pStyle w:val="ListParagraph"/>
        <w:ind w:left="2160"/>
        <w:jc w:val="both"/>
        <w:rPr>
          <w:sz w:val="22"/>
          <w:lang w:val="nl-NL"/>
        </w:rPr>
      </w:pPr>
    </w:p>
    <w:p w:rsidR="00955BCD" w:rsidRPr="00955BCD" w:rsidRDefault="00543355" w:rsidP="00D519F6">
      <w:pPr>
        <w:pStyle w:val="ListParagraph"/>
        <w:pBdr>
          <w:top w:val="single" w:sz="4" w:space="1" w:color="auto"/>
          <w:left w:val="single" w:sz="4" w:space="4" w:color="auto"/>
          <w:bottom w:val="single" w:sz="4" w:space="1" w:color="auto"/>
          <w:right w:val="single" w:sz="4" w:space="4" w:color="auto"/>
        </w:pBdr>
        <w:ind w:left="2160"/>
        <w:jc w:val="both"/>
        <w:rPr>
          <w:sz w:val="22"/>
          <w:lang w:val="nl-NL"/>
        </w:rPr>
      </w:pPr>
      <w:r w:rsidRPr="00543355">
        <w:rPr>
          <w:sz w:val="22"/>
          <w:lang w:val="nl-NL"/>
        </w:rPr>
        <w:t xml:space="preserve"> </w:t>
      </w:r>
      <w:r w:rsidR="003974FA">
        <w:rPr>
          <w:sz w:val="22"/>
          <w:lang w:val="nl-NL"/>
        </w:rPr>
        <w:t xml:space="preserve">Een voorbeeld hiervan was de zaak </w:t>
      </w:r>
      <w:r w:rsidR="003974FA" w:rsidRPr="003974FA">
        <w:rPr>
          <w:sz w:val="22"/>
          <w:lang w:val="nl-NL"/>
        </w:rPr>
        <w:t>C-451/08 Helmut Müller (begrippen ‘overeenkomst onder bezwarende titel’ en ‘concessieovereenkomst’)</w:t>
      </w:r>
      <w:r w:rsidR="003974FA">
        <w:rPr>
          <w:sz w:val="22"/>
          <w:lang w:val="nl-NL"/>
        </w:rPr>
        <w:t xml:space="preserve">. </w:t>
      </w:r>
      <w:r w:rsidR="00955BCD" w:rsidRPr="00955BCD">
        <w:rPr>
          <w:sz w:val="22"/>
          <w:lang w:val="nl-NL"/>
        </w:rPr>
        <w:t xml:space="preserve">Ook in het vreemdelingenrecht kan de wijze van toepassing worden geraakt door uitleg van begrippen uit onder andere de burgerschapsrichtlijn (2004/38). Dit was het geval in </w:t>
      </w:r>
      <w:proofErr w:type="spellStart"/>
      <w:r w:rsidR="00955BCD" w:rsidRPr="00955BCD">
        <w:rPr>
          <w:sz w:val="22"/>
          <w:lang w:val="nl-NL"/>
        </w:rPr>
        <w:t>Rahman</w:t>
      </w:r>
      <w:proofErr w:type="spellEnd"/>
      <w:r w:rsidR="00955BCD" w:rsidRPr="00955BCD">
        <w:rPr>
          <w:sz w:val="22"/>
          <w:lang w:val="nl-NL"/>
        </w:rPr>
        <w:t xml:space="preserve"> (C-83/11) waarin uitleg werd gevraagd over het begrip ‘andere familieleden’ ten laste van een Unieburger in de zin van artikel 3, lid 2, van de burgerschapsrichtlijn. </w:t>
      </w:r>
      <w:r w:rsidR="00983D94">
        <w:rPr>
          <w:sz w:val="22"/>
          <w:lang w:val="nl-NL"/>
        </w:rPr>
        <w:t xml:space="preserve">Het Hof oordeelde in lijn met het </w:t>
      </w:r>
      <w:r w:rsidR="00955BCD" w:rsidRPr="00955BCD">
        <w:rPr>
          <w:sz w:val="22"/>
          <w:lang w:val="nl-NL"/>
        </w:rPr>
        <w:t>Nederland</w:t>
      </w:r>
      <w:r w:rsidR="00983D94">
        <w:rPr>
          <w:sz w:val="22"/>
          <w:lang w:val="nl-NL"/>
        </w:rPr>
        <w:t>se</w:t>
      </w:r>
      <w:r w:rsidR="00955BCD" w:rsidRPr="00955BCD">
        <w:rPr>
          <w:sz w:val="22"/>
          <w:lang w:val="nl-NL"/>
        </w:rPr>
        <w:t xml:space="preserve"> betoog </w:t>
      </w:r>
      <w:proofErr w:type="spellStart"/>
      <w:r w:rsidR="00983D94">
        <w:rPr>
          <w:sz w:val="22"/>
          <w:lang w:val="nl-NL"/>
        </w:rPr>
        <w:t>dat</w:t>
      </w:r>
      <w:r w:rsidR="00955BCD" w:rsidRPr="00955BCD">
        <w:rPr>
          <w:sz w:val="22"/>
          <w:lang w:val="nl-NL"/>
        </w:rPr>
        <w:t>de</w:t>
      </w:r>
      <w:proofErr w:type="spellEnd"/>
      <w:r w:rsidR="00955BCD" w:rsidRPr="00955BCD">
        <w:rPr>
          <w:sz w:val="22"/>
          <w:lang w:val="nl-NL"/>
        </w:rPr>
        <w:t xml:space="preserve"> lidstaten veel ruimte om zelf te bepalen welke familieleden, die niet behoren tot het kerngezin, toe te laten.</w:t>
      </w:r>
    </w:p>
    <w:p w:rsidR="00156E3C" w:rsidRDefault="006C2DFD" w:rsidP="00D519F6">
      <w:pPr>
        <w:pStyle w:val="ListParagraph"/>
        <w:pBdr>
          <w:top w:val="single" w:sz="4" w:space="1" w:color="auto"/>
          <w:left w:val="single" w:sz="4" w:space="4" w:color="auto"/>
          <w:bottom w:val="single" w:sz="4" w:space="1" w:color="auto"/>
          <w:right w:val="single" w:sz="4" w:space="4" w:color="auto"/>
        </w:pBdr>
        <w:ind w:left="2160"/>
        <w:jc w:val="both"/>
        <w:rPr>
          <w:sz w:val="22"/>
          <w:lang w:val="nl-NL"/>
        </w:rPr>
      </w:pPr>
      <w:r>
        <w:rPr>
          <w:sz w:val="22"/>
          <w:lang w:val="nl-NL"/>
        </w:rPr>
        <w:t xml:space="preserve">De </w:t>
      </w:r>
      <w:r w:rsidR="00955BCD">
        <w:rPr>
          <w:sz w:val="22"/>
          <w:lang w:val="nl-NL"/>
        </w:rPr>
        <w:t xml:space="preserve">nationale </w:t>
      </w:r>
      <w:r>
        <w:rPr>
          <w:sz w:val="22"/>
          <w:lang w:val="nl-NL"/>
        </w:rPr>
        <w:t xml:space="preserve">toepassing van richtlijnen is </w:t>
      </w:r>
      <w:r w:rsidR="00955BCD">
        <w:rPr>
          <w:sz w:val="22"/>
          <w:lang w:val="nl-NL"/>
        </w:rPr>
        <w:t xml:space="preserve">ook </w:t>
      </w:r>
      <w:r>
        <w:rPr>
          <w:sz w:val="22"/>
          <w:lang w:val="nl-NL"/>
        </w:rPr>
        <w:t>vaak aan de orde</w:t>
      </w:r>
      <w:r w:rsidR="003974FA">
        <w:rPr>
          <w:sz w:val="22"/>
          <w:lang w:val="nl-NL"/>
        </w:rPr>
        <w:t xml:space="preserve"> </w:t>
      </w:r>
      <w:r w:rsidR="00476229" w:rsidRPr="006C2DFD">
        <w:rPr>
          <w:sz w:val="22"/>
          <w:lang w:val="nl-NL"/>
        </w:rPr>
        <w:t>in btw en douane kwesties. I</w:t>
      </w:r>
      <w:r w:rsidR="00390992" w:rsidRPr="006C2DFD">
        <w:rPr>
          <w:sz w:val="22"/>
          <w:lang w:val="nl-NL"/>
        </w:rPr>
        <w:t xml:space="preserve">n C-44/11 Deutsche Bank, </w:t>
      </w:r>
      <w:r w:rsidR="00476229" w:rsidRPr="006C2DFD">
        <w:rPr>
          <w:sz w:val="22"/>
          <w:lang w:val="nl-NL"/>
        </w:rPr>
        <w:t xml:space="preserve">heeft </w:t>
      </w:r>
      <w:r w:rsidR="00955BCD" w:rsidRPr="006C2DFD">
        <w:rPr>
          <w:sz w:val="22"/>
          <w:lang w:val="nl-NL"/>
        </w:rPr>
        <w:t xml:space="preserve">Nederland </w:t>
      </w:r>
      <w:r w:rsidR="00476229" w:rsidRPr="006C2DFD">
        <w:rPr>
          <w:sz w:val="22"/>
          <w:lang w:val="nl-NL"/>
        </w:rPr>
        <w:t xml:space="preserve">bijvoorbeeld meegedaan om de Nederlandse </w:t>
      </w:r>
      <w:r>
        <w:rPr>
          <w:sz w:val="22"/>
          <w:lang w:val="nl-NL"/>
        </w:rPr>
        <w:t xml:space="preserve">toepassing </w:t>
      </w:r>
      <w:r w:rsidR="00476229" w:rsidRPr="006C2DFD">
        <w:rPr>
          <w:sz w:val="22"/>
          <w:lang w:val="nl-NL"/>
        </w:rPr>
        <w:t>van</w:t>
      </w:r>
      <w:r w:rsidR="00090759" w:rsidRPr="006C2DFD">
        <w:rPr>
          <w:sz w:val="22"/>
          <w:lang w:val="nl-NL"/>
        </w:rPr>
        <w:t xml:space="preserve"> </w:t>
      </w:r>
      <w:r w:rsidR="00476229" w:rsidRPr="006C2DFD">
        <w:rPr>
          <w:sz w:val="22"/>
          <w:lang w:val="nl-NL"/>
        </w:rPr>
        <w:t>de btw</w:t>
      </w:r>
      <w:r w:rsidR="00090759" w:rsidRPr="006C2DFD">
        <w:rPr>
          <w:sz w:val="22"/>
          <w:lang w:val="nl-NL"/>
        </w:rPr>
        <w:t>-</w:t>
      </w:r>
      <w:r w:rsidR="00476229" w:rsidRPr="006C2DFD">
        <w:rPr>
          <w:sz w:val="22"/>
          <w:lang w:val="nl-NL"/>
        </w:rPr>
        <w:t xml:space="preserve">vrijstelling te kunnen handhaven. </w:t>
      </w:r>
      <w:r w:rsidR="003974FA">
        <w:rPr>
          <w:sz w:val="22"/>
          <w:lang w:val="nl-NL"/>
        </w:rPr>
        <w:t>D</w:t>
      </w:r>
      <w:r w:rsidR="00156E3C">
        <w:rPr>
          <w:sz w:val="22"/>
          <w:lang w:val="nl-NL"/>
        </w:rPr>
        <w:t xml:space="preserve">e </w:t>
      </w:r>
      <w:r w:rsidR="00156E3C" w:rsidRPr="00156E3C">
        <w:rPr>
          <w:sz w:val="22"/>
          <w:lang w:val="nl-NL"/>
        </w:rPr>
        <w:t xml:space="preserve">wijze van uitvoering en handhaving speelt </w:t>
      </w:r>
      <w:r w:rsidR="00055989">
        <w:rPr>
          <w:sz w:val="22"/>
          <w:lang w:val="nl-NL"/>
        </w:rPr>
        <w:t>vaak</w:t>
      </w:r>
      <w:r w:rsidR="003974FA">
        <w:rPr>
          <w:sz w:val="22"/>
          <w:lang w:val="nl-NL"/>
        </w:rPr>
        <w:t xml:space="preserve"> </w:t>
      </w:r>
      <w:r w:rsidR="00156E3C">
        <w:rPr>
          <w:sz w:val="22"/>
          <w:lang w:val="nl-NL"/>
        </w:rPr>
        <w:t xml:space="preserve">bij </w:t>
      </w:r>
      <w:r w:rsidR="00156E3C" w:rsidRPr="00156E3C">
        <w:rPr>
          <w:sz w:val="22"/>
          <w:lang w:val="nl-NL"/>
        </w:rPr>
        <w:t>de toekenning van landbouwsubsidies</w:t>
      </w:r>
      <w:r w:rsidR="00156E3C">
        <w:rPr>
          <w:sz w:val="22"/>
          <w:lang w:val="nl-NL"/>
        </w:rPr>
        <w:t>. Bijvoorbeeld in</w:t>
      </w:r>
      <w:r w:rsidR="00156E3C" w:rsidRPr="00156E3C">
        <w:rPr>
          <w:sz w:val="22"/>
          <w:lang w:val="nl-NL"/>
        </w:rPr>
        <w:t xml:space="preserve"> </w:t>
      </w:r>
      <w:proofErr w:type="spellStart"/>
      <w:r w:rsidR="00156E3C" w:rsidRPr="00156E3C">
        <w:rPr>
          <w:sz w:val="22"/>
          <w:lang w:val="nl-NL"/>
        </w:rPr>
        <w:t>Fruition</w:t>
      </w:r>
      <w:proofErr w:type="spellEnd"/>
      <w:r w:rsidR="00156E3C" w:rsidRPr="00156E3C">
        <w:rPr>
          <w:sz w:val="22"/>
          <w:lang w:val="nl-NL"/>
        </w:rPr>
        <w:t xml:space="preserve"> Po</w:t>
      </w:r>
      <w:proofErr w:type="gramStart"/>
      <w:r w:rsidR="00156E3C" w:rsidRPr="00156E3C">
        <w:rPr>
          <w:sz w:val="22"/>
          <w:lang w:val="nl-NL"/>
        </w:rPr>
        <w:t>,(</w:t>
      </w:r>
      <w:proofErr w:type="gramEnd"/>
      <w:r w:rsidR="00156E3C" w:rsidRPr="00156E3C">
        <w:rPr>
          <w:sz w:val="22"/>
          <w:lang w:val="nl-NL"/>
        </w:rPr>
        <w:t xml:space="preserve"> zaak C-500/11, nog geen uitspraak). Nederland doet mee omdat Nederlandse telersverenigingen</w:t>
      </w:r>
      <w:r w:rsidR="003974FA">
        <w:rPr>
          <w:sz w:val="22"/>
          <w:lang w:val="nl-NL"/>
        </w:rPr>
        <w:t>,</w:t>
      </w:r>
      <w:r w:rsidR="00D519F6">
        <w:rPr>
          <w:sz w:val="22"/>
          <w:lang w:val="nl-NL"/>
        </w:rPr>
        <w:t xml:space="preserve"> </w:t>
      </w:r>
      <w:r w:rsidR="003974FA">
        <w:rPr>
          <w:sz w:val="22"/>
          <w:lang w:val="nl-NL"/>
        </w:rPr>
        <w:t xml:space="preserve">net als de </w:t>
      </w:r>
      <w:proofErr w:type="gramStart"/>
      <w:r w:rsidR="003974FA">
        <w:rPr>
          <w:sz w:val="22"/>
          <w:lang w:val="nl-NL"/>
        </w:rPr>
        <w:t>Engelse ,</w:t>
      </w:r>
      <w:proofErr w:type="gramEnd"/>
      <w:r w:rsidR="003974FA">
        <w:rPr>
          <w:sz w:val="22"/>
          <w:lang w:val="nl-NL"/>
        </w:rPr>
        <w:t xml:space="preserve"> </w:t>
      </w:r>
      <w:r w:rsidR="00156E3C" w:rsidRPr="00156E3C">
        <w:rPr>
          <w:sz w:val="22"/>
          <w:lang w:val="nl-NL"/>
        </w:rPr>
        <w:t xml:space="preserve">taken die zij </w:t>
      </w:r>
      <w:r w:rsidR="00483F56">
        <w:rPr>
          <w:sz w:val="22"/>
          <w:lang w:val="nl-NL"/>
        </w:rPr>
        <w:t xml:space="preserve">in het kader van </w:t>
      </w:r>
      <w:r w:rsidR="00156E3C" w:rsidRPr="00156E3C">
        <w:rPr>
          <w:sz w:val="22"/>
          <w:lang w:val="nl-NL"/>
        </w:rPr>
        <w:t>de GMO</w:t>
      </w:r>
      <w:r w:rsidR="00483F56">
        <w:rPr>
          <w:sz w:val="22"/>
          <w:lang w:val="nl-NL"/>
        </w:rPr>
        <w:t>-</w:t>
      </w:r>
      <w:r w:rsidR="00156E3C" w:rsidRPr="00156E3C">
        <w:rPr>
          <w:sz w:val="22"/>
          <w:lang w:val="nl-NL"/>
        </w:rPr>
        <w:t>verordening hebben</w:t>
      </w:r>
      <w:r w:rsidR="003974FA">
        <w:rPr>
          <w:sz w:val="22"/>
          <w:lang w:val="nl-NL"/>
        </w:rPr>
        <w:t>,</w:t>
      </w:r>
      <w:r w:rsidR="00156E3C" w:rsidRPr="00156E3C">
        <w:rPr>
          <w:sz w:val="22"/>
          <w:lang w:val="nl-NL"/>
        </w:rPr>
        <w:t xml:space="preserve"> uitbesteden.</w:t>
      </w:r>
      <w:r w:rsidR="00156E3C">
        <w:rPr>
          <w:sz w:val="22"/>
          <w:lang w:val="nl-NL"/>
        </w:rPr>
        <w:t xml:space="preserve"> </w:t>
      </w:r>
      <w:r w:rsidR="003974FA">
        <w:rPr>
          <w:sz w:val="22"/>
          <w:lang w:val="nl-NL"/>
        </w:rPr>
        <w:t xml:space="preserve">Nederland heeft belang bij de beantwoording van de vragen </w:t>
      </w:r>
      <w:r w:rsidR="00983D94">
        <w:rPr>
          <w:sz w:val="22"/>
          <w:lang w:val="nl-NL"/>
        </w:rPr>
        <w:t xml:space="preserve">over </w:t>
      </w:r>
      <w:r w:rsidR="003974FA">
        <w:rPr>
          <w:sz w:val="22"/>
          <w:lang w:val="nl-NL"/>
        </w:rPr>
        <w:t xml:space="preserve">of </w:t>
      </w:r>
      <w:r w:rsidR="00983D94">
        <w:rPr>
          <w:sz w:val="22"/>
          <w:lang w:val="nl-NL"/>
        </w:rPr>
        <w:t xml:space="preserve">en in welke mate </w:t>
      </w:r>
      <w:r w:rsidR="003974FA">
        <w:rPr>
          <w:sz w:val="22"/>
          <w:lang w:val="nl-NL"/>
        </w:rPr>
        <w:t>d</w:t>
      </w:r>
      <w:r w:rsidR="00983D94">
        <w:rPr>
          <w:sz w:val="22"/>
          <w:lang w:val="nl-NL"/>
        </w:rPr>
        <w:t>eze uitbesteding</w:t>
      </w:r>
      <w:r w:rsidR="003974FA">
        <w:rPr>
          <w:sz w:val="22"/>
          <w:lang w:val="nl-NL"/>
        </w:rPr>
        <w:t xml:space="preserve"> is toegestaan.</w:t>
      </w:r>
      <w:r w:rsidR="00156E3C">
        <w:rPr>
          <w:sz w:val="22"/>
          <w:lang w:val="nl-NL"/>
        </w:rPr>
        <w:t xml:space="preserve"> </w:t>
      </w:r>
    </w:p>
    <w:p w:rsidR="009706C3" w:rsidRDefault="00476229" w:rsidP="00483F56">
      <w:pPr>
        <w:pStyle w:val="ListParagraph"/>
        <w:ind w:left="2160"/>
        <w:jc w:val="both"/>
        <w:rPr>
          <w:sz w:val="22"/>
          <w:lang w:val="nl-NL"/>
        </w:rPr>
      </w:pPr>
      <w:r w:rsidRPr="00156E3C">
        <w:rPr>
          <w:sz w:val="22"/>
          <w:lang w:val="nl-NL"/>
        </w:rPr>
        <w:t>.</w:t>
      </w:r>
    </w:p>
    <w:p w:rsidR="004D0D9E" w:rsidRPr="002C7215" w:rsidRDefault="004D0D9E" w:rsidP="00483F56">
      <w:pPr>
        <w:pStyle w:val="ListParagraph"/>
        <w:numPr>
          <w:ilvl w:val="0"/>
          <w:numId w:val="16"/>
        </w:numPr>
        <w:jc w:val="both"/>
        <w:rPr>
          <w:i/>
          <w:color w:val="0070C0"/>
          <w:sz w:val="22"/>
          <w:lang w:val="nl-NL"/>
        </w:rPr>
      </w:pPr>
      <w:r w:rsidRPr="002C7215">
        <w:rPr>
          <w:i/>
          <w:color w:val="0070C0"/>
          <w:sz w:val="22"/>
          <w:lang w:val="nl-NL"/>
        </w:rPr>
        <w:t xml:space="preserve">Voorgenomen beleid of regelgeving kan worden geraakt door de uitspraak </w:t>
      </w:r>
    </w:p>
    <w:p w:rsidR="00193E15" w:rsidRDefault="00193E15" w:rsidP="00483F56">
      <w:pPr>
        <w:pStyle w:val="ListParagraph"/>
        <w:ind w:left="2160"/>
        <w:jc w:val="both"/>
        <w:rPr>
          <w:sz w:val="22"/>
          <w:lang w:val="nl-NL"/>
        </w:rPr>
      </w:pPr>
    </w:p>
    <w:p w:rsidR="00E62BEF" w:rsidRDefault="002C1669" w:rsidP="00483F56">
      <w:pPr>
        <w:pStyle w:val="ListParagraph"/>
        <w:ind w:left="2160"/>
        <w:jc w:val="both"/>
        <w:rPr>
          <w:sz w:val="22"/>
          <w:lang w:val="nl-NL"/>
        </w:rPr>
      </w:pPr>
      <w:r>
        <w:rPr>
          <w:sz w:val="22"/>
          <w:lang w:val="nl-NL"/>
        </w:rPr>
        <w:lastRenderedPageBreak/>
        <w:t xml:space="preserve">Ook voorgenomen beleid kan worden geraakt door een uitspraak. Als uitgangspunt voor deelname </w:t>
      </w:r>
      <w:r w:rsidR="00731600">
        <w:rPr>
          <w:sz w:val="22"/>
          <w:lang w:val="nl-NL"/>
        </w:rPr>
        <w:t xml:space="preserve">geldt </w:t>
      </w:r>
      <w:r>
        <w:rPr>
          <w:sz w:val="22"/>
          <w:lang w:val="nl-NL"/>
        </w:rPr>
        <w:t xml:space="preserve">in deze gevallen dat het moet gaan om </w:t>
      </w:r>
      <w:r w:rsidR="002C7215">
        <w:rPr>
          <w:sz w:val="22"/>
          <w:lang w:val="nl-NL"/>
        </w:rPr>
        <w:t>voorgenomen beleid waar</w:t>
      </w:r>
      <w:r w:rsidR="009430D5">
        <w:rPr>
          <w:sz w:val="22"/>
          <w:lang w:val="nl-NL"/>
        </w:rPr>
        <w:t>over</w:t>
      </w:r>
      <w:r w:rsidR="002C7215">
        <w:rPr>
          <w:sz w:val="22"/>
          <w:lang w:val="nl-NL"/>
        </w:rPr>
        <w:t xml:space="preserve"> tussen departementen overeenstemming bestaat. </w:t>
      </w:r>
      <w:r w:rsidR="00F24883">
        <w:rPr>
          <w:sz w:val="22"/>
          <w:lang w:val="nl-NL"/>
        </w:rPr>
        <w:t>Wanneer de Ministerraad heeft ingestemd met het voorgenomen beleid en/of regelgeving en een wetgeving</w:t>
      </w:r>
      <w:r w:rsidR="009430D5">
        <w:rPr>
          <w:sz w:val="22"/>
          <w:lang w:val="nl-NL"/>
        </w:rPr>
        <w:t>s</w:t>
      </w:r>
      <w:r w:rsidR="00F24883">
        <w:rPr>
          <w:sz w:val="22"/>
          <w:lang w:val="nl-NL"/>
        </w:rPr>
        <w:t>voor</w:t>
      </w:r>
      <w:r w:rsidR="009430D5">
        <w:rPr>
          <w:sz w:val="22"/>
          <w:lang w:val="nl-NL"/>
        </w:rPr>
        <w:t>s</w:t>
      </w:r>
      <w:r w:rsidR="00F24883">
        <w:rPr>
          <w:sz w:val="22"/>
          <w:lang w:val="nl-NL"/>
        </w:rPr>
        <w:t xml:space="preserve">tel voor advies naar de Raad van State is gezonden of </w:t>
      </w:r>
      <w:proofErr w:type="gramStart"/>
      <w:r w:rsidR="00F24883">
        <w:rPr>
          <w:sz w:val="22"/>
          <w:lang w:val="nl-NL"/>
        </w:rPr>
        <w:t>beleidsvoornemens</w:t>
      </w:r>
      <w:proofErr w:type="gramEnd"/>
      <w:r w:rsidR="00F24883">
        <w:rPr>
          <w:sz w:val="22"/>
          <w:lang w:val="nl-NL"/>
        </w:rPr>
        <w:t xml:space="preserve"> na bespreking in de Ministerraad naar de kamer zijn gestuurd is er in ieder geval sprake van </w:t>
      </w:r>
      <w:r w:rsidR="009430D5">
        <w:rPr>
          <w:sz w:val="22"/>
          <w:lang w:val="nl-NL"/>
        </w:rPr>
        <w:t>overeenstemming</w:t>
      </w:r>
      <w:r w:rsidR="00F24883">
        <w:rPr>
          <w:sz w:val="22"/>
          <w:lang w:val="nl-NL"/>
        </w:rPr>
        <w:t>.</w:t>
      </w:r>
    </w:p>
    <w:p w:rsidR="00E62BEF" w:rsidRDefault="00E62BEF" w:rsidP="00483F56">
      <w:pPr>
        <w:pStyle w:val="ListParagraph"/>
        <w:ind w:left="2160"/>
        <w:jc w:val="both"/>
        <w:rPr>
          <w:sz w:val="22"/>
          <w:lang w:val="nl-NL"/>
        </w:rPr>
      </w:pPr>
    </w:p>
    <w:p w:rsidR="009430D5" w:rsidRPr="000256E8" w:rsidRDefault="00E62BEF" w:rsidP="00483F56">
      <w:pPr>
        <w:pStyle w:val="ListParagraph"/>
        <w:pBdr>
          <w:top w:val="single" w:sz="4" w:space="1" w:color="auto"/>
          <w:left w:val="single" w:sz="4" w:space="4" w:color="auto"/>
          <w:bottom w:val="single" w:sz="4" w:space="1" w:color="auto"/>
          <w:right w:val="single" w:sz="4" w:space="4" w:color="auto"/>
        </w:pBdr>
        <w:ind w:left="2160"/>
        <w:jc w:val="both"/>
        <w:rPr>
          <w:sz w:val="22"/>
          <w:lang w:val="nl-NL"/>
        </w:rPr>
      </w:pPr>
      <w:r>
        <w:rPr>
          <w:sz w:val="22"/>
          <w:lang w:val="nl-NL"/>
        </w:rPr>
        <w:t xml:space="preserve">Een voorbeeld van voorgenomen beleid dat zou kunnen worden geraakt door een </w:t>
      </w:r>
      <w:r w:rsidR="002F6B60">
        <w:rPr>
          <w:sz w:val="22"/>
          <w:lang w:val="nl-NL"/>
        </w:rPr>
        <w:t>uitspraak</w:t>
      </w:r>
      <w:r w:rsidR="009430D5" w:rsidRPr="000256E8">
        <w:rPr>
          <w:sz w:val="22"/>
          <w:lang w:val="nl-NL"/>
        </w:rPr>
        <w:t xml:space="preserve"> </w:t>
      </w:r>
      <w:r w:rsidR="002F6B60">
        <w:rPr>
          <w:sz w:val="22"/>
          <w:lang w:val="nl-NL"/>
        </w:rPr>
        <w:t xml:space="preserve">was </w:t>
      </w:r>
      <w:r w:rsidR="009430D5" w:rsidRPr="000256E8">
        <w:rPr>
          <w:sz w:val="22"/>
          <w:lang w:val="nl-NL"/>
        </w:rPr>
        <w:t xml:space="preserve">het voornemen van het kabinet </w:t>
      </w:r>
      <w:r w:rsidR="00543355">
        <w:rPr>
          <w:sz w:val="22"/>
          <w:lang w:val="nl-NL"/>
        </w:rPr>
        <w:t>(</w:t>
      </w:r>
      <w:r w:rsidR="009430D5" w:rsidRPr="000256E8">
        <w:rPr>
          <w:sz w:val="22"/>
          <w:lang w:val="nl-NL"/>
        </w:rPr>
        <w:t>Rutte I</w:t>
      </w:r>
      <w:r w:rsidR="003974FA">
        <w:rPr>
          <w:sz w:val="22"/>
          <w:lang w:val="nl-NL"/>
        </w:rPr>
        <w:t xml:space="preserve"> en II</w:t>
      </w:r>
      <w:r w:rsidR="00543355">
        <w:rPr>
          <w:sz w:val="22"/>
          <w:lang w:val="nl-NL"/>
        </w:rPr>
        <w:t>)</w:t>
      </w:r>
      <w:r w:rsidR="009430D5" w:rsidRPr="000256E8">
        <w:rPr>
          <w:sz w:val="22"/>
          <w:lang w:val="nl-NL"/>
        </w:rPr>
        <w:t xml:space="preserve"> om </w:t>
      </w:r>
      <w:r w:rsidR="001D0EE6" w:rsidRPr="000256E8">
        <w:rPr>
          <w:sz w:val="22"/>
          <w:lang w:val="nl-NL"/>
        </w:rPr>
        <w:t>illegaliteit</w:t>
      </w:r>
      <w:r w:rsidR="009430D5" w:rsidRPr="000256E8">
        <w:rPr>
          <w:sz w:val="22"/>
          <w:lang w:val="nl-NL"/>
        </w:rPr>
        <w:t xml:space="preserve"> strafbaar te stellen. </w:t>
      </w:r>
      <w:r w:rsidR="000256E8">
        <w:rPr>
          <w:sz w:val="22"/>
          <w:lang w:val="nl-NL"/>
        </w:rPr>
        <w:t xml:space="preserve">Dit was aanleiding voor </w:t>
      </w:r>
      <w:r w:rsidR="009430D5" w:rsidRPr="000256E8">
        <w:rPr>
          <w:sz w:val="22"/>
          <w:lang w:val="nl-NL"/>
        </w:rPr>
        <w:t xml:space="preserve">de </w:t>
      </w:r>
      <w:r w:rsidR="001D0EE6" w:rsidRPr="000256E8">
        <w:rPr>
          <w:sz w:val="22"/>
          <w:lang w:val="nl-NL"/>
        </w:rPr>
        <w:t>Nederlandse</w:t>
      </w:r>
      <w:r w:rsidR="009430D5" w:rsidRPr="000256E8">
        <w:rPr>
          <w:sz w:val="22"/>
          <w:lang w:val="nl-NL"/>
        </w:rPr>
        <w:t xml:space="preserve"> regering</w:t>
      </w:r>
      <w:r w:rsidR="000256E8">
        <w:rPr>
          <w:sz w:val="22"/>
          <w:lang w:val="nl-NL"/>
        </w:rPr>
        <w:t xml:space="preserve"> om opmerkingen te maken in de </w:t>
      </w:r>
      <w:r w:rsidR="002F6B60">
        <w:rPr>
          <w:sz w:val="22"/>
          <w:lang w:val="nl-NL"/>
        </w:rPr>
        <w:t>Italiaanse</w:t>
      </w:r>
      <w:r>
        <w:rPr>
          <w:sz w:val="22"/>
          <w:lang w:val="nl-NL"/>
        </w:rPr>
        <w:t xml:space="preserve"> </w:t>
      </w:r>
      <w:r w:rsidR="000256E8">
        <w:rPr>
          <w:sz w:val="22"/>
          <w:lang w:val="nl-NL"/>
        </w:rPr>
        <w:t>zaak</w:t>
      </w:r>
      <w:r w:rsidR="009430D5" w:rsidRPr="000256E8">
        <w:rPr>
          <w:sz w:val="22"/>
          <w:lang w:val="nl-NL"/>
        </w:rPr>
        <w:t xml:space="preserve"> </w:t>
      </w:r>
      <w:proofErr w:type="spellStart"/>
      <w:r w:rsidR="009430D5" w:rsidRPr="000256E8">
        <w:rPr>
          <w:sz w:val="22"/>
          <w:lang w:val="nl-NL"/>
        </w:rPr>
        <w:t>Sagor</w:t>
      </w:r>
      <w:proofErr w:type="spellEnd"/>
      <w:r w:rsidR="009430D5" w:rsidRPr="000256E8">
        <w:rPr>
          <w:sz w:val="22"/>
          <w:lang w:val="nl-NL"/>
        </w:rPr>
        <w:t xml:space="preserve"> (C-</w:t>
      </w:r>
      <w:r w:rsidR="001D0EE6" w:rsidRPr="000256E8">
        <w:rPr>
          <w:sz w:val="22"/>
          <w:lang w:val="nl-NL"/>
        </w:rPr>
        <w:t>430/11</w:t>
      </w:r>
      <w:r w:rsidR="000256E8">
        <w:rPr>
          <w:sz w:val="22"/>
          <w:lang w:val="nl-NL"/>
        </w:rPr>
        <w:t xml:space="preserve"> boete voor illegaal verblijf</w:t>
      </w:r>
      <w:r w:rsidR="001D0EE6" w:rsidRPr="000256E8">
        <w:rPr>
          <w:sz w:val="22"/>
          <w:lang w:val="nl-NL"/>
        </w:rPr>
        <w:t>)</w:t>
      </w:r>
      <w:r>
        <w:rPr>
          <w:sz w:val="22"/>
          <w:lang w:val="nl-NL"/>
        </w:rPr>
        <w:t xml:space="preserve"> om zo te proberen</w:t>
      </w:r>
      <w:r w:rsidR="002F6B60">
        <w:rPr>
          <w:sz w:val="22"/>
          <w:lang w:val="nl-NL"/>
        </w:rPr>
        <w:t xml:space="preserve"> zo veel mogelijk ruimte te behouden voor het voorgenomen beleid.</w:t>
      </w:r>
    </w:p>
    <w:p w:rsidR="005E67F5" w:rsidRDefault="005E67F5" w:rsidP="00483F56">
      <w:pPr>
        <w:pStyle w:val="ListParagraph"/>
        <w:ind w:left="2160"/>
        <w:jc w:val="both"/>
        <w:rPr>
          <w:sz w:val="22"/>
          <w:lang w:val="nl-NL"/>
        </w:rPr>
      </w:pPr>
    </w:p>
    <w:p w:rsidR="00E62BEF" w:rsidRDefault="00E62BEF" w:rsidP="00483F56">
      <w:pPr>
        <w:pStyle w:val="ListParagraph"/>
        <w:ind w:left="2160"/>
        <w:jc w:val="both"/>
        <w:rPr>
          <w:sz w:val="22"/>
          <w:lang w:val="nl-NL"/>
        </w:rPr>
      </w:pPr>
    </w:p>
    <w:p w:rsidR="004D0D9E" w:rsidRDefault="00162D80" w:rsidP="00483F56">
      <w:pPr>
        <w:pStyle w:val="ListParagraph"/>
        <w:numPr>
          <w:ilvl w:val="0"/>
          <w:numId w:val="16"/>
        </w:numPr>
        <w:jc w:val="both"/>
        <w:rPr>
          <w:i/>
          <w:color w:val="0070C0"/>
          <w:sz w:val="22"/>
          <w:lang w:val="nl-NL"/>
        </w:rPr>
      </w:pPr>
      <w:r w:rsidRPr="001D0EE6">
        <w:rPr>
          <w:i/>
          <w:color w:val="0070C0"/>
          <w:sz w:val="22"/>
          <w:lang w:val="nl-NL"/>
        </w:rPr>
        <w:t xml:space="preserve">De uitspraak kan </w:t>
      </w:r>
      <w:r w:rsidR="00E82268">
        <w:rPr>
          <w:i/>
          <w:color w:val="0070C0"/>
          <w:sz w:val="22"/>
          <w:lang w:val="nl-NL"/>
        </w:rPr>
        <w:t xml:space="preserve">de </w:t>
      </w:r>
      <w:r w:rsidRPr="001D0EE6">
        <w:rPr>
          <w:i/>
          <w:color w:val="0070C0"/>
          <w:sz w:val="22"/>
          <w:lang w:val="nl-NL"/>
        </w:rPr>
        <w:t xml:space="preserve">beleidsvrijheid </w:t>
      </w:r>
      <w:r w:rsidR="00E62BEF">
        <w:rPr>
          <w:i/>
          <w:color w:val="0070C0"/>
          <w:sz w:val="22"/>
          <w:lang w:val="nl-NL"/>
        </w:rPr>
        <w:t xml:space="preserve">inperken </w:t>
      </w:r>
      <w:r w:rsidRPr="001D0EE6">
        <w:rPr>
          <w:i/>
          <w:color w:val="0070C0"/>
          <w:sz w:val="22"/>
          <w:lang w:val="nl-NL"/>
        </w:rPr>
        <w:t>op voor Nederland gevoelige beleidsterreinen</w:t>
      </w:r>
    </w:p>
    <w:p w:rsidR="001D0EE6" w:rsidRDefault="001D0EE6" w:rsidP="00483F56">
      <w:pPr>
        <w:pStyle w:val="ListParagraph"/>
        <w:ind w:left="2160"/>
        <w:jc w:val="both"/>
        <w:rPr>
          <w:color w:val="0070C0"/>
          <w:sz w:val="22"/>
          <w:lang w:val="nl-NL"/>
        </w:rPr>
      </w:pPr>
    </w:p>
    <w:p w:rsidR="00DA5696" w:rsidRDefault="00543355" w:rsidP="00483F56">
      <w:pPr>
        <w:pStyle w:val="ListParagraph"/>
        <w:ind w:left="2160"/>
        <w:jc w:val="both"/>
        <w:rPr>
          <w:sz w:val="22"/>
          <w:lang w:val="nl-NL"/>
        </w:rPr>
      </w:pPr>
      <w:r>
        <w:rPr>
          <w:sz w:val="22"/>
          <w:lang w:val="nl-NL"/>
        </w:rPr>
        <w:t>Een uitspraak van het Hof kan consequenties hebben voor de beleidsvrijheid die het Unierecht laat aan de lidstaten. Deelname aan de procedure is er dan op gericht deze beleidsvrijheid te verdedigen.</w:t>
      </w:r>
    </w:p>
    <w:p w:rsidR="003974FA" w:rsidRDefault="003974FA" w:rsidP="00483F56">
      <w:pPr>
        <w:pStyle w:val="ListParagraph"/>
        <w:ind w:left="2160"/>
        <w:jc w:val="both"/>
        <w:rPr>
          <w:sz w:val="22"/>
          <w:lang w:val="nl-NL"/>
        </w:rPr>
      </w:pPr>
    </w:p>
    <w:p w:rsidR="00C10193" w:rsidRDefault="00C10193" w:rsidP="00D519F6">
      <w:pPr>
        <w:pStyle w:val="ListParagraph"/>
        <w:pBdr>
          <w:top w:val="single" w:sz="4" w:space="1" w:color="auto"/>
          <w:left w:val="single" w:sz="4" w:space="4" w:color="auto"/>
          <w:bottom w:val="single" w:sz="4" w:space="1" w:color="auto"/>
          <w:right w:val="single" w:sz="4" w:space="4" w:color="auto"/>
        </w:pBdr>
        <w:ind w:left="2160"/>
        <w:jc w:val="both"/>
        <w:rPr>
          <w:sz w:val="22"/>
          <w:lang w:val="nl-NL"/>
        </w:rPr>
      </w:pPr>
      <w:r>
        <w:rPr>
          <w:sz w:val="22"/>
          <w:lang w:val="nl-NL"/>
        </w:rPr>
        <w:t>De verdediging van beleidsruimte speelt bijvoorbeeld in zaken op het gebeid van:</w:t>
      </w:r>
    </w:p>
    <w:p w:rsidR="00C10193" w:rsidRDefault="00C10193" w:rsidP="00D519F6">
      <w:pPr>
        <w:pStyle w:val="ListParagraph"/>
        <w:pBdr>
          <w:top w:val="single" w:sz="4" w:space="1" w:color="auto"/>
          <w:left w:val="single" w:sz="4" w:space="4" w:color="auto"/>
          <w:bottom w:val="single" w:sz="4" w:space="1" w:color="auto"/>
          <w:right w:val="single" w:sz="4" w:space="4" w:color="auto"/>
        </w:pBdr>
        <w:ind w:left="2160"/>
        <w:jc w:val="both"/>
        <w:rPr>
          <w:sz w:val="22"/>
          <w:lang w:val="nl-NL"/>
        </w:rPr>
      </w:pPr>
      <w:r w:rsidRPr="00D519F6">
        <w:rPr>
          <w:sz w:val="22"/>
          <w:u w:val="single"/>
          <w:lang w:val="nl-NL"/>
        </w:rPr>
        <w:t>Fiscaliteit</w:t>
      </w:r>
      <w:r>
        <w:rPr>
          <w:sz w:val="22"/>
          <w:lang w:val="nl-NL"/>
        </w:rPr>
        <w:t>, zoals</w:t>
      </w:r>
      <w:r w:rsidR="0063043C" w:rsidRPr="00BC119A">
        <w:rPr>
          <w:sz w:val="22"/>
          <w:lang w:val="nl-NL"/>
        </w:rPr>
        <w:t xml:space="preserve"> belasting</w:t>
      </w:r>
      <w:r w:rsidR="00F6225F" w:rsidRPr="00BC119A">
        <w:rPr>
          <w:sz w:val="22"/>
          <w:lang w:val="nl-NL"/>
        </w:rPr>
        <w:t xml:space="preserve"> </w:t>
      </w:r>
      <w:r w:rsidR="008C47D1" w:rsidRPr="00BC119A">
        <w:rPr>
          <w:sz w:val="22"/>
          <w:lang w:val="nl-NL"/>
        </w:rPr>
        <w:t>op dividend afkomstig uit derde landen</w:t>
      </w:r>
      <w:r w:rsidR="00923B54" w:rsidRPr="00BC119A">
        <w:rPr>
          <w:sz w:val="22"/>
          <w:lang w:val="nl-NL"/>
        </w:rPr>
        <w:t xml:space="preserve"> </w:t>
      </w:r>
      <w:r w:rsidR="0063043C" w:rsidRPr="00BC119A">
        <w:rPr>
          <w:sz w:val="22"/>
          <w:lang w:val="nl-NL"/>
        </w:rPr>
        <w:t>(C-</w:t>
      </w:r>
      <w:r w:rsidR="008C47D1" w:rsidRPr="00BC119A">
        <w:rPr>
          <w:sz w:val="22"/>
          <w:lang w:val="nl-NL"/>
        </w:rPr>
        <w:t xml:space="preserve">436/08 en C-437/08 </w:t>
      </w:r>
      <w:proofErr w:type="spellStart"/>
      <w:r w:rsidR="008C47D1" w:rsidRPr="00BC119A">
        <w:rPr>
          <w:sz w:val="22"/>
          <w:lang w:val="nl-NL"/>
        </w:rPr>
        <w:t>Haribo</w:t>
      </w:r>
      <w:proofErr w:type="spellEnd"/>
      <w:r w:rsidR="00265FB3">
        <w:rPr>
          <w:sz w:val="22"/>
          <w:lang w:val="nl-NL"/>
        </w:rPr>
        <w:t xml:space="preserve">, NL wilde </w:t>
      </w:r>
      <w:r w:rsidR="0063043C" w:rsidRPr="00BC119A">
        <w:rPr>
          <w:sz w:val="22"/>
          <w:lang w:val="nl-NL"/>
        </w:rPr>
        <w:t>)</w:t>
      </w:r>
      <w:r w:rsidR="00923B54" w:rsidRPr="00BC119A">
        <w:rPr>
          <w:sz w:val="22"/>
          <w:lang w:val="nl-NL"/>
        </w:rPr>
        <w:t xml:space="preserve"> </w:t>
      </w:r>
      <w:r>
        <w:rPr>
          <w:sz w:val="22"/>
          <w:lang w:val="nl-NL"/>
        </w:rPr>
        <w:t xml:space="preserve">en </w:t>
      </w:r>
      <w:r w:rsidR="00923B54" w:rsidRPr="00BC119A">
        <w:rPr>
          <w:sz w:val="22"/>
          <w:lang w:val="nl-NL"/>
        </w:rPr>
        <w:t xml:space="preserve">de heffing van inkomstenbelasting van niet in </w:t>
      </w:r>
      <w:r w:rsidR="008C47D1" w:rsidRPr="00BC119A">
        <w:rPr>
          <w:sz w:val="22"/>
          <w:lang w:val="nl-NL"/>
        </w:rPr>
        <w:t>Nederland</w:t>
      </w:r>
      <w:r w:rsidR="00923B54" w:rsidRPr="00BC119A">
        <w:rPr>
          <w:sz w:val="22"/>
          <w:lang w:val="nl-NL"/>
        </w:rPr>
        <w:t xml:space="preserve"> woonachtige </w:t>
      </w:r>
      <w:r w:rsidR="008C47D1" w:rsidRPr="00BC119A">
        <w:rPr>
          <w:sz w:val="22"/>
          <w:lang w:val="nl-NL"/>
        </w:rPr>
        <w:t xml:space="preserve">werknemers </w:t>
      </w:r>
      <w:r w:rsidR="00923B54" w:rsidRPr="00BC119A">
        <w:rPr>
          <w:sz w:val="22"/>
          <w:lang w:val="nl-NL"/>
        </w:rPr>
        <w:t>(C-498/10 X</w:t>
      </w:r>
      <w:r w:rsidR="00265FB3">
        <w:rPr>
          <w:sz w:val="22"/>
          <w:lang w:val="nl-NL"/>
        </w:rPr>
        <w:t xml:space="preserve">, NL wilde </w:t>
      </w:r>
      <w:r w:rsidR="00923B54" w:rsidRPr="00BC119A">
        <w:rPr>
          <w:sz w:val="22"/>
          <w:lang w:val="nl-NL"/>
        </w:rPr>
        <w:t xml:space="preserve">). </w:t>
      </w:r>
    </w:p>
    <w:p w:rsidR="001709EA" w:rsidRPr="00BC119A" w:rsidRDefault="00C10193" w:rsidP="00D519F6">
      <w:pPr>
        <w:pStyle w:val="ListParagraph"/>
        <w:pBdr>
          <w:top w:val="single" w:sz="4" w:space="1" w:color="auto"/>
          <w:left w:val="single" w:sz="4" w:space="4" w:color="auto"/>
          <w:bottom w:val="single" w:sz="4" w:space="1" w:color="auto"/>
          <w:right w:val="single" w:sz="4" w:space="4" w:color="auto"/>
        </w:pBdr>
        <w:ind w:left="2160"/>
        <w:jc w:val="both"/>
        <w:rPr>
          <w:sz w:val="22"/>
          <w:lang w:val="nl-NL"/>
        </w:rPr>
      </w:pPr>
      <w:r w:rsidRPr="00D519F6">
        <w:rPr>
          <w:sz w:val="22"/>
          <w:u w:val="single"/>
          <w:lang w:val="nl-NL"/>
        </w:rPr>
        <w:t>V</w:t>
      </w:r>
      <w:r w:rsidR="00F6225F" w:rsidRPr="00D519F6">
        <w:rPr>
          <w:sz w:val="22"/>
          <w:u w:val="single"/>
          <w:lang w:val="nl-NL"/>
        </w:rPr>
        <w:t>olksgezondheid</w:t>
      </w:r>
      <w:r>
        <w:rPr>
          <w:sz w:val="22"/>
          <w:lang w:val="nl-NL"/>
        </w:rPr>
        <w:t>,</w:t>
      </w:r>
      <w:r w:rsidR="00F6225F" w:rsidRPr="00BC119A">
        <w:rPr>
          <w:sz w:val="22"/>
          <w:lang w:val="nl-NL"/>
        </w:rPr>
        <w:t xml:space="preserve"> </w:t>
      </w:r>
      <w:r w:rsidR="000256E8" w:rsidRPr="00BC119A">
        <w:rPr>
          <w:sz w:val="22"/>
          <w:lang w:val="nl-NL"/>
        </w:rPr>
        <w:t xml:space="preserve">wat betreft </w:t>
      </w:r>
      <w:r w:rsidR="008C47D1" w:rsidRPr="00BC119A">
        <w:rPr>
          <w:sz w:val="22"/>
          <w:lang w:val="nl-NL"/>
        </w:rPr>
        <w:t xml:space="preserve">de </w:t>
      </w:r>
      <w:r w:rsidR="00F6225F" w:rsidRPr="00BC119A">
        <w:rPr>
          <w:sz w:val="22"/>
          <w:lang w:val="nl-NL"/>
        </w:rPr>
        <w:t xml:space="preserve">inrichting van het stelsel van </w:t>
      </w:r>
      <w:r w:rsidR="00DA5696" w:rsidRPr="00BC119A">
        <w:rPr>
          <w:sz w:val="22"/>
          <w:lang w:val="nl-NL"/>
        </w:rPr>
        <w:t>de ziektekosten</w:t>
      </w:r>
      <w:r w:rsidR="00F6225F" w:rsidRPr="00BC119A">
        <w:rPr>
          <w:sz w:val="22"/>
          <w:lang w:val="nl-NL"/>
        </w:rPr>
        <w:t>verzekering</w:t>
      </w:r>
      <w:r w:rsidR="00785E8E" w:rsidRPr="00BC119A">
        <w:rPr>
          <w:sz w:val="22"/>
          <w:lang w:val="nl-NL"/>
        </w:rPr>
        <w:t xml:space="preserve"> </w:t>
      </w:r>
      <w:r w:rsidR="00923B54" w:rsidRPr="00BC119A">
        <w:rPr>
          <w:sz w:val="22"/>
          <w:lang w:val="nl-NL"/>
        </w:rPr>
        <w:t>(zie bijvoorbeeld C-345-09 Van Delft</w:t>
      </w:r>
      <w:r w:rsidR="00433477" w:rsidRPr="00BC119A">
        <w:rPr>
          <w:sz w:val="22"/>
          <w:lang w:val="nl-NL"/>
        </w:rPr>
        <w:t xml:space="preserve">, </w:t>
      </w:r>
      <w:r w:rsidR="00956799" w:rsidRPr="00BC119A">
        <w:rPr>
          <w:sz w:val="22"/>
          <w:lang w:val="nl-NL"/>
        </w:rPr>
        <w:t xml:space="preserve">over </w:t>
      </w:r>
      <w:r w:rsidR="00433477" w:rsidRPr="00BC119A">
        <w:rPr>
          <w:sz w:val="22"/>
          <w:lang w:val="nl-NL"/>
        </w:rPr>
        <w:t xml:space="preserve">verplichte </w:t>
      </w:r>
      <w:r w:rsidR="00956799" w:rsidRPr="00BC119A">
        <w:rPr>
          <w:sz w:val="22"/>
          <w:lang w:val="nl-NL"/>
        </w:rPr>
        <w:t>premie</w:t>
      </w:r>
      <w:r w:rsidR="00433477" w:rsidRPr="00BC119A">
        <w:rPr>
          <w:sz w:val="22"/>
          <w:lang w:val="nl-NL"/>
        </w:rPr>
        <w:t xml:space="preserve">afdracht </w:t>
      </w:r>
      <w:r w:rsidR="00956799" w:rsidRPr="00BC119A">
        <w:rPr>
          <w:sz w:val="22"/>
          <w:lang w:val="nl-NL"/>
        </w:rPr>
        <w:t>bij verblijf</w:t>
      </w:r>
      <w:r w:rsidR="00433477" w:rsidRPr="00BC119A">
        <w:rPr>
          <w:sz w:val="22"/>
          <w:lang w:val="nl-NL"/>
        </w:rPr>
        <w:t xml:space="preserve"> in het buitenland</w:t>
      </w:r>
      <w:r w:rsidR="00F6225F" w:rsidRPr="00BC119A">
        <w:rPr>
          <w:sz w:val="22"/>
          <w:lang w:val="nl-NL"/>
        </w:rPr>
        <w:t>)</w:t>
      </w:r>
      <w:r w:rsidR="008C47D1" w:rsidRPr="00BC119A">
        <w:rPr>
          <w:sz w:val="22"/>
          <w:lang w:val="nl-NL"/>
        </w:rPr>
        <w:t xml:space="preserve">. </w:t>
      </w:r>
    </w:p>
    <w:p w:rsidR="00055989" w:rsidRDefault="00C10193" w:rsidP="00D519F6">
      <w:pPr>
        <w:pStyle w:val="ListParagraph"/>
        <w:pBdr>
          <w:top w:val="single" w:sz="4" w:space="1" w:color="auto"/>
          <w:left w:val="single" w:sz="4" w:space="4" w:color="auto"/>
          <w:bottom w:val="single" w:sz="4" w:space="1" w:color="auto"/>
          <w:right w:val="single" w:sz="4" w:space="4" w:color="auto"/>
        </w:pBdr>
        <w:ind w:left="2160"/>
        <w:jc w:val="both"/>
        <w:rPr>
          <w:sz w:val="22"/>
          <w:lang w:val="nl-NL"/>
        </w:rPr>
      </w:pPr>
      <w:r w:rsidRPr="00D519F6">
        <w:rPr>
          <w:sz w:val="22"/>
          <w:u w:val="single"/>
          <w:lang w:val="nl-NL"/>
        </w:rPr>
        <w:t>A</w:t>
      </w:r>
      <w:r w:rsidR="00F6225F" w:rsidRPr="00D519F6">
        <w:rPr>
          <w:sz w:val="22"/>
          <w:u w:val="single"/>
          <w:lang w:val="nl-NL"/>
        </w:rPr>
        <w:t>siel</w:t>
      </w:r>
      <w:r w:rsidR="00F9357F">
        <w:rPr>
          <w:sz w:val="22"/>
          <w:u w:val="single"/>
          <w:lang w:val="nl-NL"/>
        </w:rPr>
        <w:t xml:space="preserve"> en</w:t>
      </w:r>
      <w:r w:rsidR="00F6225F" w:rsidRPr="00D519F6">
        <w:rPr>
          <w:sz w:val="22"/>
          <w:u w:val="single"/>
          <w:lang w:val="nl-NL"/>
        </w:rPr>
        <w:t xml:space="preserve"> migratie</w:t>
      </w:r>
      <w:r w:rsidR="00DA5696" w:rsidRPr="00BC119A">
        <w:rPr>
          <w:sz w:val="22"/>
          <w:lang w:val="nl-NL"/>
        </w:rPr>
        <w:t xml:space="preserve">. De </w:t>
      </w:r>
      <w:r>
        <w:rPr>
          <w:sz w:val="22"/>
          <w:lang w:val="nl-NL"/>
        </w:rPr>
        <w:t>beleids</w:t>
      </w:r>
      <w:r w:rsidR="00DA5696" w:rsidRPr="00BC119A">
        <w:rPr>
          <w:sz w:val="22"/>
          <w:lang w:val="nl-NL"/>
        </w:rPr>
        <w:t xml:space="preserve">ruimte hangt onder meer af van de uitleg van </w:t>
      </w:r>
      <w:r w:rsidR="00D12A27">
        <w:rPr>
          <w:sz w:val="22"/>
          <w:lang w:val="nl-NL"/>
        </w:rPr>
        <w:t xml:space="preserve">de rechten verbonden aan </w:t>
      </w:r>
      <w:r w:rsidR="00DA5696" w:rsidRPr="00BC119A">
        <w:rPr>
          <w:sz w:val="22"/>
          <w:lang w:val="nl-NL"/>
        </w:rPr>
        <w:t xml:space="preserve">het burgerschap van de Unie uit artikel 20 VWEU (zie C-34/09 </w:t>
      </w:r>
      <w:proofErr w:type="spellStart"/>
      <w:r w:rsidR="00DA5696" w:rsidRPr="00BC119A">
        <w:rPr>
          <w:sz w:val="22"/>
          <w:lang w:val="nl-NL"/>
        </w:rPr>
        <w:t>Zambrano</w:t>
      </w:r>
      <w:proofErr w:type="spellEnd"/>
      <w:r w:rsidR="00DA5696" w:rsidRPr="00BC119A">
        <w:rPr>
          <w:sz w:val="22"/>
          <w:lang w:val="nl-NL"/>
        </w:rPr>
        <w:t xml:space="preserve">), </w:t>
      </w:r>
      <w:r w:rsidR="00785E8E" w:rsidRPr="00BC119A">
        <w:rPr>
          <w:sz w:val="22"/>
          <w:lang w:val="nl-NL"/>
        </w:rPr>
        <w:t>de kwalificatierichtlijn (C-071/11 Y en Z</w:t>
      </w:r>
      <w:r w:rsidR="00DA5696" w:rsidRPr="00BC119A">
        <w:rPr>
          <w:sz w:val="22"/>
          <w:lang w:val="nl-NL"/>
        </w:rPr>
        <w:t xml:space="preserve">, vervolging op grond van geloofsovertuiging, eis van terughoudendheid in belijdenis bij </w:t>
      </w:r>
      <w:proofErr w:type="gramStart"/>
      <w:r w:rsidR="00DA5696" w:rsidRPr="00BC119A">
        <w:rPr>
          <w:sz w:val="22"/>
          <w:lang w:val="nl-NL"/>
        </w:rPr>
        <w:t>terugkeer</w:t>
      </w:r>
      <w:r w:rsidR="00785E8E" w:rsidRPr="00BC119A">
        <w:rPr>
          <w:sz w:val="22"/>
          <w:lang w:val="nl-NL"/>
        </w:rPr>
        <w:t xml:space="preserve">) </w:t>
      </w:r>
      <w:r w:rsidR="009B6AF9" w:rsidRPr="00BC119A">
        <w:rPr>
          <w:sz w:val="22"/>
          <w:lang w:val="nl-NL"/>
        </w:rPr>
        <w:t xml:space="preserve"> </w:t>
      </w:r>
      <w:proofErr w:type="gramEnd"/>
      <w:r w:rsidR="00785E8E" w:rsidRPr="00BC119A">
        <w:rPr>
          <w:sz w:val="22"/>
          <w:lang w:val="nl-NL"/>
        </w:rPr>
        <w:t xml:space="preserve">de </w:t>
      </w:r>
      <w:r w:rsidR="008C47D1" w:rsidRPr="00BC119A">
        <w:rPr>
          <w:sz w:val="22"/>
          <w:lang w:val="nl-NL"/>
        </w:rPr>
        <w:t xml:space="preserve">vluchtelingenstatus </w:t>
      </w:r>
      <w:r w:rsidR="00785E8E" w:rsidRPr="00BC119A">
        <w:rPr>
          <w:sz w:val="22"/>
          <w:lang w:val="nl-NL"/>
        </w:rPr>
        <w:t xml:space="preserve">(C-69/10 Samba </w:t>
      </w:r>
      <w:proofErr w:type="spellStart"/>
      <w:r w:rsidR="00785E8E" w:rsidRPr="00BC119A">
        <w:rPr>
          <w:sz w:val="22"/>
          <w:lang w:val="nl-NL"/>
        </w:rPr>
        <w:t>Diouf</w:t>
      </w:r>
      <w:proofErr w:type="spellEnd"/>
      <w:r w:rsidR="00785E8E" w:rsidRPr="00BC119A">
        <w:rPr>
          <w:sz w:val="22"/>
          <w:lang w:val="nl-NL"/>
        </w:rPr>
        <w:t>)</w:t>
      </w:r>
      <w:r w:rsidR="00956799" w:rsidRPr="00BC119A">
        <w:rPr>
          <w:sz w:val="22"/>
          <w:lang w:val="nl-NL"/>
        </w:rPr>
        <w:t xml:space="preserve"> </w:t>
      </w:r>
      <w:r w:rsidR="00983D94">
        <w:rPr>
          <w:sz w:val="22"/>
          <w:lang w:val="nl-NL"/>
        </w:rPr>
        <w:t>en de t</w:t>
      </w:r>
      <w:r w:rsidR="00956799" w:rsidRPr="00BC119A">
        <w:rPr>
          <w:sz w:val="22"/>
          <w:lang w:val="nl-NL"/>
        </w:rPr>
        <w:t>erugkeerrichtlijn (</w:t>
      </w:r>
      <w:r w:rsidR="00EC15C4" w:rsidRPr="00BC119A">
        <w:rPr>
          <w:sz w:val="22"/>
          <w:lang w:val="nl-NL"/>
        </w:rPr>
        <w:t xml:space="preserve">C-620/10 </w:t>
      </w:r>
      <w:proofErr w:type="spellStart"/>
      <w:r w:rsidR="00EC15C4" w:rsidRPr="00BC119A">
        <w:rPr>
          <w:sz w:val="22"/>
          <w:lang w:val="nl-NL"/>
        </w:rPr>
        <w:t>Kastrati</w:t>
      </w:r>
      <w:proofErr w:type="spellEnd"/>
      <w:r w:rsidR="00EC15C4" w:rsidRPr="00BC119A">
        <w:rPr>
          <w:sz w:val="22"/>
          <w:lang w:val="nl-NL"/>
        </w:rPr>
        <w:t xml:space="preserve"> over de intrekking van het asielverzoek of </w:t>
      </w:r>
      <w:r w:rsidR="00956799" w:rsidRPr="00BC119A">
        <w:rPr>
          <w:sz w:val="22"/>
          <w:lang w:val="nl-NL"/>
        </w:rPr>
        <w:t>C-277/11 M.M</w:t>
      </w:r>
      <w:r w:rsidR="00785E8E" w:rsidRPr="00BC119A">
        <w:rPr>
          <w:sz w:val="22"/>
          <w:lang w:val="nl-NL"/>
        </w:rPr>
        <w:t>.</w:t>
      </w:r>
      <w:r w:rsidR="00956799" w:rsidRPr="00BC119A">
        <w:rPr>
          <w:sz w:val="22"/>
          <w:lang w:val="nl-NL"/>
        </w:rPr>
        <w:t xml:space="preserve"> reikwijdte ‘verplichte samenwerking</w:t>
      </w:r>
      <w:r w:rsidR="000256E8" w:rsidRPr="00BC119A">
        <w:rPr>
          <w:sz w:val="22"/>
          <w:lang w:val="nl-NL"/>
        </w:rPr>
        <w:t xml:space="preserve"> autoriteiten uit de andere lidstaat</w:t>
      </w:r>
      <w:r w:rsidR="00956799" w:rsidRPr="00BC119A">
        <w:rPr>
          <w:sz w:val="22"/>
          <w:lang w:val="nl-NL"/>
        </w:rPr>
        <w:t>’ ).</w:t>
      </w:r>
    </w:p>
    <w:p w:rsidR="001D0EE6" w:rsidRPr="00BC119A" w:rsidRDefault="00C10193" w:rsidP="00D519F6">
      <w:pPr>
        <w:pStyle w:val="ListParagraph"/>
        <w:pBdr>
          <w:top w:val="single" w:sz="4" w:space="1" w:color="auto"/>
          <w:left w:val="single" w:sz="4" w:space="4" w:color="auto"/>
          <w:bottom w:val="single" w:sz="4" w:space="1" w:color="auto"/>
          <w:right w:val="single" w:sz="4" w:space="4" w:color="auto"/>
        </w:pBdr>
        <w:ind w:left="2160"/>
        <w:jc w:val="both"/>
        <w:rPr>
          <w:sz w:val="22"/>
          <w:lang w:val="nl-NL"/>
        </w:rPr>
      </w:pPr>
      <w:r w:rsidRPr="00D519F6">
        <w:rPr>
          <w:sz w:val="22"/>
          <w:u w:val="single"/>
          <w:lang w:val="nl-NL"/>
        </w:rPr>
        <w:t>S</w:t>
      </w:r>
      <w:r w:rsidR="006D0F41" w:rsidRPr="00D519F6">
        <w:rPr>
          <w:sz w:val="22"/>
          <w:u w:val="single"/>
          <w:lang w:val="nl-NL"/>
        </w:rPr>
        <w:t>trafrecht</w:t>
      </w:r>
      <w:r w:rsidR="00E3223D">
        <w:rPr>
          <w:sz w:val="22"/>
          <w:lang w:val="nl-NL"/>
        </w:rPr>
        <w:t xml:space="preserve">: Uitleg door het Hof van de kaderbesluiten is dan </w:t>
      </w:r>
      <w:proofErr w:type="gramStart"/>
      <w:r w:rsidR="00E3223D">
        <w:rPr>
          <w:sz w:val="22"/>
          <w:lang w:val="nl-NL"/>
        </w:rPr>
        <w:t>met name</w:t>
      </w:r>
      <w:proofErr w:type="gramEnd"/>
      <w:r w:rsidR="00E3223D">
        <w:rPr>
          <w:sz w:val="22"/>
          <w:lang w:val="nl-NL"/>
        </w:rPr>
        <w:t xml:space="preserve"> van </w:t>
      </w:r>
      <w:r w:rsidR="00074BDA">
        <w:rPr>
          <w:sz w:val="22"/>
          <w:lang w:val="nl-NL"/>
        </w:rPr>
        <w:t>belang. Bijvoorbeeld</w:t>
      </w:r>
      <w:r w:rsidR="00983D94">
        <w:rPr>
          <w:sz w:val="22"/>
          <w:lang w:val="nl-NL"/>
        </w:rPr>
        <w:t xml:space="preserve"> </w:t>
      </w:r>
      <w:r w:rsidR="00E3223D">
        <w:rPr>
          <w:sz w:val="22"/>
          <w:lang w:val="nl-NL"/>
        </w:rPr>
        <w:t>over</w:t>
      </w:r>
      <w:r w:rsidR="006D0F41" w:rsidRPr="00BC119A">
        <w:rPr>
          <w:sz w:val="22"/>
          <w:lang w:val="nl-NL"/>
        </w:rPr>
        <w:t xml:space="preserve"> het </w:t>
      </w:r>
      <w:r w:rsidR="00E3223D">
        <w:rPr>
          <w:sz w:val="22"/>
          <w:lang w:val="nl-NL"/>
        </w:rPr>
        <w:t>kaderbesluit voor het</w:t>
      </w:r>
      <w:r w:rsidR="006D0F41" w:rsidRPr="00BC119A">
        <w:rPr>
          <w:sz w:val="22"/>
          <w:lang w:val="nl-NL"/>
        </w:rPr>
        <w:t xml:space="preserve"> </w:t>
      </w:r>
      <w:r w:rsidR="006D0F41" w:rsidRPr="00BC119A">
        <w:rPr>
          <w:sz w:val="22"/>
          <w:lang w:val="nl-NL"/>
        </w:rPr>
        <w:lastRenderedPageBreak/>
        <w:t xml:space="preserve">Europees aanhoudingsbevel (C-261/09 </w:t>
      </w:r>
      <w:proofErr w:type="spellStart"/>
      <w:r w:rsidR="006D0F41" w:rsidRPr="00BC119A">
        <w:rPr>
          <w:sz w:val="22"/>
          <w:lang w:val="nl-NL"/>
        </w:rPr>
        <w:t>Mantello</w:t>
      </w:r>
      <w:proofErr w:type="spellEnd"/>
      <w:r w:rsidR="00003140" w:rsidRPr="00BC119A">
        <w:rPr>
          <w:sz w:val="22"/>
          <w:lang w:val="nl-NL"/>
        </w:rPr>
        <w:t xml:space="preserve">, </w:t>
      </w:r>
      <w:r w:rsidR="00265FB3">
        <w:rPr>
          <w:sz w:val="22"/>
          <w:lang w:val="nl-NL"/>
        </w:rPr>
        <w:t xml:space="preserve">wat was hier de NL wens/ </w:t>
      </w:r>
      <w:r w:rsidR="00003140" w:rsidRPr="00BC119A">
        <w:rPr>
          <w:sz w:val="22"/>
          <w:lang w:val="nl-NL"/>
        </w:rPr>
        <w:t xml:space="preserve">C-264/10 </w:t>
      </w:r>
      <w:proofErr w:type="spellStart"/>
      <w:r w:rsidR="00132639" w:rsidRPr="00BC119A">
        <w:rPr>
          <w:sz w:val="22"/>
          <w:lang w:val="nl-NL"/>
        </w:rPr>
        <w:t>Kita</w:t>
      </w:r>
      <w:proofErr w:type="spellEnd"/>
      <w:r w:rsidR="00265FB3">
        <w:rPr>
          <w:sz w:val="22"/>
          <w:lang w:val="nl-NL"/>
        </w:rPr>
        <w:t xml:space="preserve"> idem</w:t>
      </w:r>
      <w:r w:rsidR="006D0F41" w:rsidRPr="00BC119A">
        <w:rPr>
          <w:sz w:val="22"/>
          <w:lang w:val="nl-NL"/>
        </w:rPr>
        <w:t>)</w:t>
      </w:r>
      <w:r w:rsidR="009E5D52" w:rsidRPr="00BC119A">
        <w:rPr>
          <w:sz w:val="22"/>
          <w:lang w:val="nl-NL"/>
        </w:rPr>
        <w:t>.</w:t>
      </w:r>
    </w:p>
    <w:p w:rsidR="00785E8E" w:rsidRPr="00785E8E" w:rsidRDefault="00785E8E" w:rsidP="00483F56">
      <w:pPr>
        <w:pStyle w:val="ListParagraph"/>
        <w:ind w:left="2880"/>
        <w:jc w:val="both"/>
        <w:rPr>
          <w:sz w:val="22"/>
          <w:lang w:val="nl-NL"/>
        </w:rPr>
      </w:pPr>
    </w:p>
    <w:p w:rsidR="00162D80" w:rsidRDefault="00162D80" w:rsidP="00483F56">
      <w:pPr>
        <w:pStyle w:val="ListParagraph"/>
        <w:numPr>
          <w:ilvl w:val="0"/>
          <w:numId w:val="16"/>
        </w:numPr>
        <w:jc w:val="both"/>
        <w:rPr>
          <w:i/>
          <w:color w:val="0070C0"/>
          <w:sz w:val="22"/>
          <w:lang w:val="nl-NL"/>
        </w:rPr>
      </w:pPr>
      <w:r w:rsidRPr="001D0EE6">
        <w:rPr>
          <w:i/>
          <w:color w:val="0070C0"/>
          <w:sz w:val="22"/>
          <w:lang w:val="nl-NL"/>
        </w:rPr>
        <w:t xml:space="preserve">Politiek </w:t>
      </w:r>
      <w:r w:rsidR="001709EA">
        <w:rPr>
          <w:i/>
          <w:color w:val="0070C0"/>
          <w:sz w:val="22"/>
          <w:lang w:val="nl-NL"/>
        </w:rPr>
        <w:t>belang</w:t>
      </w:r>
      <w:r w:rsidRPr="001D0EE6">
        <w:rPr>
          <w:i/>
          <w:color w:val="0070C0"/>
          <w:sz w:val="22"/>
          <w:lang w:val="nl-NL"/>
        </w:rPr>
        <w:t xml:space="preserve"> van het betrokken</w:t>
      </w:r>
      <w:r w:rsidR="002F6E8F">
        <w:rPr>
          <w:i/>
          <w:color w:val="0070C0"/>
          <w:sz w:val="22"/>
          <w:lang w:val="nl-NL"/>
        </w:rPr>
        <w:t xml:space="preserve"> </w:t>
      </w:r>
      <w:r w:rsidRPr="001D0EE6">
        <w:rPr>
          <w:i/>
          <w:color w:val="0070C0"/>
          <w:sz w:val="22"/>
          <w:lang w:val="nl-NL"/>
        </w:rPr>
        <w:t>beleidsterrein</w:t>
      </w:r>
    </w:p>
    <w:p w:rsidR="00433477" w:rsidRDefault="00433477" w:rsidP="00483F56">
      <w:pPr>
        <w:pStyle w:val="ListParagraph"/>
        <w:ind w:left="2160"/>
        <w:jc w:val="both"/>
        <w:rPr>
          <w:sz w:val="22"/>
          <w:lang w:val="nl-NL"/>
        </w:rPr>
      </w:pPr>
    </w:p>
    <w:p w:rsidR="00EF12A4" w:rsidRDefault="00D12A27" w:rsidP="00483F56">
      <w:pPr>
        <w:pStyle w:val="ListParagraph"/>
        <w:ind w:left="2160"/>
        <w:jc w:val="both"/>
        <w:rPr>
          <w:sz w:val="22"/>
          <w:lang w:val="nl-NL"/>
        </w:rPr>
      </w:pPr>
      <w:r>
        <w:rPr>
          <w:sz w:val="22"/>
          <w:lang w:val="nl-NL"/>
        </w:rPr>
        <w:t xml:space="preserve">Politieke belangen kunnen ook aanleiding zijn om deel te nemen aan een prejudiciële zaak. </w:t>
      </w:r>
      <w:r w:rsidR="00D82D90">
        <w:rPr>
          <w:sz w:val="22"/>
          <w:lang w:val="nl-NL"/>
        </w:rPr>
        <w:t xml:space="preserve">Deze worden vaak ingegeven door </w:t>
      </w:r>
      <w:r w:rsidR="00433477">
        <w:rPr>
          <w:sz w:val="22"/>
          <w:lang w:val="nl-NL"/>
        </w:rPr>
        <w:t xml:space="preserve">de politieke </w:t>
      </w:r>
      <w:r w:rsidR="00D82D90">
        <w:rPr>
          <w:sz w:val="22"/>
          <w:lang w:val="nl-NL"/>
        </w:rPr>
        <w:t>wensen</w:t>
      </w:r>
      <w:r w:rsidR="00433477">
        <w:rPr>
          <w:sz w:val="22"/>
          <w:lang w:val="nl-NL"/>
        </w:rPr>
        <w:t xml:space="preserve"> van de regering</w:t>
      </w:r>
      <w:r w:rsidR="00D82D90">
        <w:rPr>
          <w:sz w:val="22"/>
          <w:lang w:val="nl-NL"/>
        </w:rPr>
        <w:t xml:space="preserve"> en de Tweede Kamer.</w:t>
      </w:r>
      <w:r w:rsidR="00956799">
        <w:rPr>
          <w:sz w:val="22"/>
          <w:lang w:val="nl-NL"/>
        </w:rPr>
        <w:t xml:space="preserve"> </w:t>
      </w:r>
      <w:r w:rsidR="00D82D90">
        <w:rPr>
          <w:sz w:val="22"/>
          <w:lang w:val="nl-NL"/>
        </w:rPr>
        <w:t>H</w:t>
      </w:r>
      <w:r w:rsidR="00956799">
        <w:rPr>
          <w:sz w:val="22"/>
          <w:lang w:val="nl-NL"/>
        </w:rPr>
        <w:t xml:space="preserve">et </w:t>
      </w:r>
      <w:r w:rsidR="000256E8">
        <w:rPr>
          <w:sz w:val="22"/>
          <w:lang w:val="nl-NL"/>
        </w:rPr>
        <w:t xml:space="preserve">op dat moment geldende </w:t>
      </w:r>
      <w:r w:rsidR="00956799">
        <w:rPr>
          <w:sz w:val="22"/>
          <w:lang w:val="nl-NL"/>
        </w:rPr>
        <w:t>regeerakkoord</w:t>
      </w:r>
      <w:r w:rsidR="00D519F6">
        <w:rPr>
          <w:sz w:val="22"/>
          <w:lang w:val="nl-NL"/>
        </w:rPr>
        <w:t xml:space="preserve"> </w:t>
      </w:r>
      <w:r w:rsidR="00D82D90">
        <w:rPr>
          <w:sz w:val="22"/>
          <w:lang w:val="nl-NL"/>
        </w:rPr>
        <w:t>geeft die wensen goed weer.</w:t>
      </w:r>
      <w:r w:rsidR="00E60463">
        <w:rPr>
          <w:sz w:val="22"/>
          <w:lang w:val="nl-NL"/>
        </w:rPr>
        <w:t xml:space="preserve"> </w:t>
      </w:r>
      <w:r w:rsidR="00D82D90">
        <w:rPr>
          <w:sz w:val="22"/>
          <w:lang w:val="nl-NL"/>
        </w:rPr>
        <w:t>D</w:t>
      </w:r>
      <w:r w:rsidR="00EF12A4" w:rsidRPr="00EF12A4">
        <w:rPr>
          <w:sz w:val="22"/>
          <w:lang w:val="nl-NL"/>
        </w:rPr>
        <w:t xml:space="preserve">e </w:t>
      </w:r>
      <w:r w:rsidR="00D82D90">
        <w:rPr>
          <w:sz w:val="22"/>
          <w:lang w:val="nl-NL"/>
        </w:rPr>
        <w:t xml:space="preserve">Tweede </w:t>
      </w:r>
      <w:r w:rsidR="00EF12A4" w:rsidRPr="00EF12A4">
        <w:rPr>
          <w:sz w:val="22"/>
          <w:lang w:val="nl-NL"/>
        </w:rPr>
        <w:t xml:space="preserve">Kamer </w:t>
      </w:r>
      <w:r w:rsidR="00D82D90">
        <w:rPr>
          <w:sz w:val="22"/>
          <w:lang w:val="nl-NL"/>
        </w:rPr>
        <w:t xml:space="preserve">kan </w:t>
      </w:r>
      <w:r w:rsidR="00EF12A4" w:rsidRPr="00EF12A4">
        <w:rPr>
          <w:sz w:val="22"/>
          <w:lang w:val="nl-NL"/>
        </w:rPr>
        <w:t xml:space="preserve">de minister </w:t>
      </w:r>
      <w:r w:rsidR="00D82D90">
        <w:rPr>
          <w:sz w:val="22"/>
          <w:lang w:val="nl-NL"/>
        </w:rPr>
        <w:t xml:space="preserve">ook </w:t>
      </w:r>
      <w:r w:rsidR="00EF12A4">
        <w:rPr>
          <w:sz w:val="22"/>
          <w:lang w:val="nl-NL"/>
        </w:rPr>
        <w:t>vragen</w:t>
      </w:r>
      <w:r w:rsidR="00EF12A4" w:rsidRPr="00EF12A4">
        <w:rPr>
          <w:sz w:val="22"/>
          <w:lang w:val="nl-NL"/>
        </w:rPr>
        <w:t xml:space="preserve"> om zich actief op </w:t>
      </w:r>
      <w:r w:rsidR="00E60463">
        <w:rPr>
          <w:sz w:val="22"/>
          <w:lang w:val="nl-NL"/>
        </w:rPr>
        <w:t>t</w:t>
      </w:r>
      <w:r w:rsidR="00EF12A4" w:rsidRPr="00EF12A4">
        <w:rPr>
          <w:sz w:val="22"/>
          <w:lang w:val="nl-NL"/>
        </w:rPr>
        <w:t>e stellen in een Hofzaak</w:t>
      </w:r>
      <w:r w:rsidR="00EF12A4">
        <w:rPr>
          <w:sz w:val="22"/>
          <w:lang w:val="nl-NL"/>
        </w:rPr>
        <w:t>.</w:t>
      </w:r>
    </w:p>
    <w:p w:rsidR="000A7B10" w:rsidRDefault="000A7B10" w:rsidP="00483F56">
      <w:pPr>
        <w:pStyle w:val="ListParagraph"/>
        <w:ind w:left="2160"/>
        <w:jc w:val="both"/>
        <w:rPr>
          <w:sz w:val="22"/>
          <w:lang w:val="nl-NL"/>
        </w:rPr>
      </w:pPr>
    </w:p>
    <w:p w:rsidR="00D677C1" w:rsidRPr="00D519F6" w:rsidRDefault="00D677C1" w:rsidP="00E3223D">
      <w:pPr>
        <w:pStyle w:val="ListParagraph"/>
        <w:pBdr>
          <w:top w:val="single" w:sz="4" w:space="1" w:color="auto"/>
          <w:left w:val="single" w:sz="4" w:space="4" w:color="auto"/>
          <w:bottom w:val="single" w:sz="4" w:space="1" w:color="auto"/>
          <w:right w:val="single" w:sz="4" w:space="4" w:color="auto"/>
        </w:pBdr>
        <w:ind w:left="2160"/>
        <w:jc w:val="both"/>
        <w:rPr>
          <w:sz w:val="22"/>
          <w:highlight w:val="yellow"/>
          <w:lang w:val="nl-NL"/>
        </w:rPr>
      </w:pPr>
      <w:r w:rsidRPr="00D519F6">
        <w:rPr>
          <w:sz w:val="22"/>
          <w:lang w:val="nl-NL"/>
        </w:rPr>
        <w:t>Voorbeelden in deze categorie zijn:</w:t>
      </w:r>
    </w:p>
    <w:p w:rsidR="00055989" w:rsidRPr="00D519F6" w:rsidRDefault="00D677C1" w:rsidP="00E3223D">
      <w:pPr>
        <w:pStyle w:val="ListParagraph"/>
        <w:pBdr>
          <w:top w:val="single" w:sz="4" w:space="1" w:color="auto"/>
          <w:left w:val="single" w:sz="4" w:space="4" w:color="auto"/>
          <w:bottom w:val="single" w:sz="4" w:space="1" w:color="auto"/>
          <w:right w:val="single" w:sz="4" w:space="4" w:color="auto"/>
        </w:pBdr>
        <w:ind w:left="2160"/>
        <w:jc w:val="both"/>
        <w:rPr>
          <w:sz w:val="22"/>
          <w:highlight w:val="yellow"/>
          <w:lang w:val="nl-NL"/>
        </w:rPr>
      </w:pPr>
      <w:r w:rsidRPr="00D519F6">
        <w:rPr>
          <w:sz w:val="22"/>
          <w:lang w:val="nl-NL"/>
        </w:rPr>
        <w:t>D</w:t>
      </w:r>
      <w:r w:rsidR="00EF12A4" w:rsidRPr="00D519F6">
        <w:rPr>
          <w:sz w:val="22"/>
          <w:lang w:val="nl-NL"/>
        </w:rPr>
        <w:t xml:space="preserve">e consequente deelname in zaken over de dienstenrichtlijn </w:t>
      </w:r>
      <w:r w:rsidR="009470A9" w:rsidRPr="00D519F6">
        <w:rPr>
          <w:sz w:val="22"/>
          <w:lang w:val="nl-NL"/>
        </w:rPr>
        <w:t>en marktwerking</w:t>
      </w:r>
      <w:r w:rsidR="00055989" w:rsidRPr="00D519F6">
        <w:rPr>
          <w:sz w:val="22"/>
          <w:lang w:val="nl-NL"/>
        </w:rPr>
        <w:t xml:space="preserve"> vanwege bevorderen en behoud van </w:t>
      </w:r>
      <w:r w:rsidR="00A53F39" w:rsidRPr="00D519F6">
        <w:rPr>
          <w:sz w:val="22"/>
          <w:lang w:val="nl-NL"/>
        </w:rPr>
        <w:t xml:space="preserve">openheid van en toegang tot </w:t>
      </w:r>
      <w:r w:rsidRPr="00D519F6">
        <w:rPr>
          <w:sz w:val="22"/>
          <w:lang w:val="nl-NL"/>
        </w:rPr>
        <w:t>diensten</w:t>
      </w:r>
      <w:r w:rsidR="00A53F39" w:rsidRPr="00D519F6">
        <w:rPr>
          <w:sz w:val="22"/>
          <w:lang w:val="nl-NL"/>
        </w:rPr>
        <w:t>markten in de lidstaten</w:t>
      </w:r>
      <w:r w:rsidR="00581AC3" w:rsidRPr="00D519F6">
        <w:rPr>
          <w:sz w:val="22"/>
          <w:lang w:val="nl-NL"/>
        </w:rPr>
        <w:t xml:space="preserve"> (zie bv C-119/09 </w:t>
      </w:r>
      <w:proofErr w:type="spellStart"/>
      <w:r w:rsidR="00581AC3" w:rsidRPr="00D519F6">
        <w:rPr>
          <w:sz w:val="22"/>
          <w:lang w:val="nl-NL"/>
        </w:rPr>
        <w:t>Sociéte</w:t>
      </w:r>
      <w:proofErr w:type="spellEnd"/>
      <w:r w:rsidR="00581AC3" w:rsidRPr="00D519F6">
        <w:rPr>
          <w:sz w:val="22"/>
          <w:lang w:val="nl-NL"/>
        </w:rPr>
        <w:t xml:space="preserve"> Fiduciaire</w:t>
      </w:r>
      <w:r w:rsidR="00FD724A" w:rsidRPr="00D519F6">
        <w:rPr>
          <w:sz w:val="22"/>
          <w:lang w:val="nl-NL"/>
        </w:rPr>
        <w:t>?</w:t>
      </w:r>
      <w:r w:rsidR="00581AC3" w:rsidRPr="00D519F6">
        <w:rPr>
          <w:sz w:val="22"/>
          <w:lang w:val="nl-NL"/>
        </w:rPr>
        <w:t>)</w:t>
      </w:r>
      <w:r w:rsidR="00055989" w:rsidRPr="00D519F6">
        <w:rPr>
          <w:sz w:val="22"/>
          <w:lang w:val="nl-NL"/>
        </w:rPr>
        <w:t xml:space="preserve">. </w:t>
      </w:r>
    </w:p>
    <w:p w:rsidR="009E5D52" w:rsidRPr="00D519F6" w:rsidRDefault="00D677C1" w:rsidP="00E3223D">
      <w:pPr>
        <w:pStyle w:val="ListParagraph"/>
        <w:pBdr>
          <w:top w:val="single" w:sz="4" w:space="1" w:color="auto"/>
          <w:left w:val="single" w:sz="4" w:space="4" w:color="auto"/>
          <w:bottom w:val="single" w:sz="4" w:space="1" w:color="auto"/>
          <w:right w:val="single" w:sz="4" w:space="4" w:color="auto"/>
        </w:pBdr>
        <w:ind w:left="2160"/>
        <w:jc w:val="both"/>
        <w:rPr>
          <w:sz w:val="22"/>
          <w:highlight w:val="yellow"/>
          <w:lang w:val="nl-NL"/>
        </w:rPr>
      </w:pPr>
      <w:r w:rsidRPr="00D519F6">
        <w:rPr>
          <w:sz w:val="22"/>
          <w:lang w:val="nl-NL"/>
        </w:rPr>
        <w:t xml:space="preserve">Zaken over </w:t>
      </w:r>
      <w:r w:rsidR="00EF12A4" w:rsidRPr="00D519F6">
        <w:rPr>
          <w:sz w:val="22"/>
          <w:lang w:val="nl-NL"/>
        </w:rPr>
        <w:t xml:space="preserve">het </w:t>
      </w:r>
      <w:r w:rsidR="001E6A8C" w:rsidRPr="00D519F6">
        <w:rPr>
          <w:sz w:val="22"/>
          <w:lang w:val="nl-NL"/>
        </w:rPr>
        <w:t>aanscherpen van de sociale zekerheid en het tegengaan van de export van uitkeringen (C-</w:t>
      </w:r>
      <w:r w:rsidR="001F1021" w:rsidRPr="00D519F6">
        <w:rPr>
          <w:sz w:val="22"/>
          <w:lang w:val="nl-NL"/>
        </w:rPr>
        <w:t xml:space="preserve">458/07 </w:t>
      </w:r>
      <w:proofErr w:type="spellStart"/>
      <w:r w:rsidR="001F1021" w:rsidRPr="00D519F6">
        <w:rPr>
          <w:sz w:val="22"/>
          <w:lang w:val="nl-NL"/>
        </w:rPr>
        <w:t>Akdas</w:t>
      </w:r>
      <w:proofErr w:type="spellEnd"/>
      <w:r w:rsidR="001F1021" w:rsidRPr="00D519F6">
        <w:rPr>
          <w:sz w:val="22"/>
          <w:lang w:val="nl-NL"/>
        </w:rPr>
        <w:t>, intrekking invaliditeitstoeslag</w:t>
      </w:r>
      <w:r w:rsidR="00FD724A" w:rsidRPr="00D519F6">
        <w:rPr>
          <w:sz w:val="22"/>
          <w:lang w:val="nl-NL"/>
        </w:rPr>
        <w:t>)</w:t>
      </w:r>
      <w:r w:rsidR="001F1021" w:rsidRPr="00D519F6">
        <w:rPr>
          <w:sz w:val="22"/>
          <w:lang w:val="nl-NL"/>
        </w:rPr>
        <w:t xml:space="preserve"> </w:t>
      </w:r>
    </w:p>
    <w:p w:rsidR="000A7B10" w:rsidRPr="00D519F6" w:rsidRDefault="00EF12A4" w:rsidP="00E3223D">
      <w:pPr>
        <w:pStyle w:val="ListParagraph"/>
        <w:pBdr>
          <w:top w:val="single" w:sz="4" w:space="1" w:color="auto"/>
          <w:left w:val="single" w:sz="4" w:space="4" w:color="auto"/>
          <w:bottom w:val="single" w:sz="4" w:space="1" w:color="auto"/>
          <w:right w:val="single" w:sz="4" w:space="4" w:color="auto"/>
        </w:pBdr>
        <w:ind w:left="2160"/>
        <w:jc w:val="both"/>
        <w:rPr>
          <w:sz w:val="22"/>
          <w:lang w:val="nl-NL"/>
        </w:rPr>
      </w:pPr>
      <w:r w:rsidRPr="00D519F6">
        <w:rPr>
          <w:sz w:val="22"/>
          <w:lang w:val="nl-NL"/>
        </w:rPr>
        <w:t xml:space="preserve">Deelname aan een zaak op verzoek van de Kamer was het geval in </w:t>
      </w:r>
      <w:r w:rsidR="009470A9" w:rsidRPr="00D519F6">
        <w:rPr>
          <w:sz w:val="22"/>
          <w:lang w:val="nl-NL"/>
        </w:rPr>
        <w:t>C-63/12 CIE/Raad en C-66/12 Raad/CIE</w:t>
      </w:r>
      <w:r w:rsidRPr="00D519F6">
        <w:rPr>
          <w:sz w:val="22"/>
          <w:lang w:val="nl-NL"/>
        </w:rPr>
        <w:t xml:space="preserve"> </w:t>
      </w:r>
      <w:r w:rsidR="00055989" w:rsidRPr="00D519F6">
        <w:rPr>
          <w:sz w:val="22"/>
          <w:lang w:val="nl-NL"/>
        </w:rPr>
        <w:t>(</w:t>
      </w:r>
      <w:r w:rsidRPr="00D519F6">
        <w:rPr>
          <w:sz w:val="22"/>
          <w:lang w:val="nl-NL"/>
        </w:rPr>
        <w:t>ambtenarensalarissen, nog aanhangig</w:t>
      </w:r>
      <w:r w:rsidR="009470A9" w:rsidRPr="00D519F6">
        <w:rPr>
          <w:sz w:val="22"/>
          <w:lang w:val="nl-NL"/>
        </w:rPr>
        <w:t xml:space="preserve">) </w:t>
      </w:r>
    </w:p>
    <w:p w:rsidR="00A53F39" w:rsidRPr="009470A9" w:rsidRDefault="00A53F39" w:rsidP="00483F56">
      <w:pPr>
        <w:pStyle w:val="ListParagraph"/>
        <w:ind w:left="2880"/>
        <w:jc w:val="both"/>
        <w:rPr>
          <w:sz w:val="22"/>
          <w:lang w:val="nl-NL"/>
        </w:rPr>
      </w:pPr>
    </w:p>
    <w:p w:rsidR="009B6AF9" w:rsidRPr="001D0EE6" w:rsidRDefault="009B6AF9" w:rsidP="00483F56">
      <w:pPr>
        <w:pStyle w:val="ListParagraph"/>
        <w:ind w:left="2160"/>
        <w:jc w:val="both"/>
        <w:rPr>
          <w:i/>
          <w:color w:val="0070C0"/>
          <w:sz w:val="22"/>
          <w:lang w:val="nl-NL"/>
        </w:rPr>
      </w:pPr>
    </w:p>
    <w:p w:rsidR="00162D80" w:rsidRDefault="00162D80" w:rsidP="00483F56">
      <w:pPr>
        <w:pStyle w:val="ListParagraph"/>
        <w:numPr>
          <w:ilvl w:val="0"/>
          <w:numId w:val="16"/>
        </w:numPr>
        <w:jc w:val="both"/>
        <w:rPr>
          <w:i/>
          <w:color w:val="0070C0"/>
          <w:sz w:val="22"/>
          <w:lang w:val="nl-NL"/>
        </w:rPr>
      </w:pPr>
      <w:r w:rsidRPr="001D0EE6">
        <w:rPr>
          <w:i/>
          <w:color w:val="0070C0"/>
          <w:sz w:val="22"/>
          <w:lang w:val="nl-NL"/>
        </w:rPr>
        <w:t>De zaak betreft een horizontaal vraagstuk</w:t>
      </w:r>
    </w:p>
    <w:p w:rsidR="003571E4" w:rsidRDefault="003571E4" w:rsidP="00483F56">
      <w:pPr>
        <w:pStyle w:val="ListParagraph"/>
        <w:ind w:left="2160"/>
        <w:jc w:val="both"/>
        <w:rPr>
          <w:sz w:val="22"/>
          <w:lang w:val="nl-NL"/>
        </w:rPr>
      </w:pPr>
    </w:p>
    <w:p w:rsidR="009E5D52" w:rsidRDefault="003571E4" w:rsidP="00483F56">
      <w:pPr>
        <w:pStyle w:val="ListParagraph"/>
        <w:ind w:left="2160"/>
        <w:jc w:val="both"/>
        <w:rPr>
          <w:sz w:val="22"/>
          <w:lang w:val="nl-NL"/>
        </w:rPr>
      </w:pPr>
      <w:r w:rsidRPr="003571E4">
        <w:rPr>
          <w:sz w:val="22"/>
          <w:lang w:val="nl-NL"/>
        </w:rPr>
        <w:t xml:space="preserve">Het betreft dan zaken </w:t>
      </w:r>
      <w:r w:rsidR="00947074">
        <w:rPr>
          <w:sz w:val="22"/>
          <w:lang w:val="nl-NL"/>
        </w:rPr>
        <w:t xml:space="preserve">die vraagstukken bevatten </w:t>
      </w:r>
      <w:r w:rsidRPr="003571E4">
        <w:rPr>
          <w:sz w:val="22"/>
          <w:lang w:val="nl-NL"/>
        </w:rPr>
        <w:t xml:space="preserve">met een </w:t>
      </w:r>
      <w:r w:rsidR="001709EA">
        <w:rPr>
          <w:sz w:val="22"/>
          <w:lang w:val="nl-NL"/>
        </w:rPr>
        <w:t>horizontale en</w:t>
      </w:r>
      <w:r w:rsidRPr="003571E4">
        <w:rPr>
          <w:sz w:val="22"/>
          <w:lang w:val="nl-NL"/>
        </w:rPr>
        <w:t xml:space="preserve"> meer algemene betekenis</w:t>
      </w:r>
      <w:r w:rsidR="001709EA">
        <w:rPr>
          <w:sz w:val="22"/>
          <w:lang w:val="nl-NL"/>
        </w:rPr>
        <w:t>.</w:t>
      </w:r>
      <w:r w:rsidR="00581AC3">
        <w:rPr>
          <w:sz w:val="22"/>
          <w:lang w:val="nl-NL"/>
        </w:rPr>
        <w:t xml:space="preserve"> In dat geval worden meerdere departementen geraakt.</w:t>
      </w:r>
    </w:p>
    <w:p w:rsidR="009B779A" w:rsidRDefault="009B779A" w:rsidP="00483F56">
      <w:pPr>
        <w:pStyle w:val="ListParagraph"/>
        <w:ind w:left="2160"/>
        <w:jc w:val="both"/>
        <w:rPr>
          <w:sz w:val="22"/>
          <w:lang w:val="nl-NL"/>
        </w:rPr>
      </w:pPr>
    </w:p>
    <w:p w:rsidR="009B779A" w:rsidRPr="00F9357F" w:rsidRDefault="003571E4" w:rsidP="00E3223D">
      <w:pPr>
        <w:pStyle w:val="ListParagraph"/>
        <w:pBdr>
          <w:top w:val="single" w:sz="4" w:space="1" w:color="auto"/>
          <w:left w:val="single" w:sz="4" w:space="4" w:color="auto"/>
          <w:bottom w:val="single" w:sz="4" w:space="1" w:color="auto"/>
          <w:right w:val="single" w:sz="4" w:space="4" w:color="auto"/>
        </w:pBdr>
        <w:ind w:left="2160"/>
        <w:jc w:val="both"/>
        <w:rPr>
          <w:sz w:val="22"/>
          <w:lang w:val="nl-NL"/>
        </w:rPr>
      </w:pPr>
      <w:r w:rsidRPr="00F9357F">
        <w:rPr>
          <w:sz w:val="22"/>
          <w:lang w:val="nl-NL"/>
        </w:rPr>
        <w:t>Hierbij moet worden gedacht aan</w:t>
      </w:r>
      <w:r w:rsidR="00485740" w:rsidRPr="00F9357F">
        <w:rPr>
          <w:sz w:val="22"/>
          <w:lang w:val="nl-NL"/>
        </w:rPr>
        <w:t>:</w:t>
      </w:r>
      <w:r w:rsidRPr="00F9357F">
        <w:rPr>
          <w:sz w:val="22"/>
          <w:lang w:val="nl-NL"/>
        </w:rPr>
        <w:t xml:space="preserve"> </w:t>
      </w:r>
    </w:p>
    <w:p w:rsidR="00187B0A" w:rsidRPr="00F9357F" w:rsidRDefault="003571E4" w:rsidP="00E3223D">
      <w:pPr>
        <w:pStyle w:val="ListParagraph"/>
        <w:pBdr>
          <w:top w:val="single" w:sz="4" w:space="1" w:color="auto"/>
          <w:left w:val="single" w:sz="4" w:space="4" w:color="auto"/>
          <w:bottom w:val="single" w:sz="4" w:space="1" w:color="auto"/>
          <w:right w:val="single" w:sz="4" w:space="4" w:color="auto"/>
        </w:pBdr>
        <w:ind w:left="2160"/>
        <w:jc w:val="both"/>
        <w:rPr>
          <w:sz w:val="22"/>
          <w:lang w:val="nl-NL"/>
        </w:rPr>
      </w:pPr>
      <w:r w:rsidRPr="00F9357F">
        <w:rPr>
          <w:sz w:val="22"/>
          <w:lang w:val="nl-NL"/>
        </w:rPr>
        <w:t xml:space="preserve">Europeesrechtelijke leerstukken als de </w:t>
      </w:r>
      <w:r w:rsidR="00EC15C4" w:rsidRPr="00F9357F">
        <w:rPr>
          <w:sz w:val="22"/>
          <w:lang w:val="nl-NL"/>
        </w:rPr>
        <w:t xml:space="preserve">horizontale </w:t>
      </w:r>
      <w:r w:rsidRPr="00F9357F">
        <w:rPr>
          <w:sz w:val="22"/>
          <w:lang w:val="nl-NL"/>
        </w:rPr>
        <w:t xml:space="preserve">werking van </w:t>
      </w:r>
      <w:r w:rsidR="00F84986" w:rsidRPr="00F9357F">
        <w:rPr>
          <w:sz w:val="22"/>
          <w:lang w:val="nl-NL"/>
        </w:rPr>
        <w:t xml:space="preserve">richtlijnbepalingen </w:t>
      </w:r>
      <w:r w:rsidR="00C537A2" w:rsidRPr="00F9357F">
        <w:rPr>
          <w:sz w:val="22"/>
          <w:lang w:val="nl-NL"/>
        </w:rPr>
        <w:t xml:space="preserve">en toepassing van algemene rechtsbeginselen </w:t>
      </w:r>
      <w:r w:rsidR="00EC15C4" w:rsidRPr="00F9357F">
        <w:rPr>
          <w:sz w:val="22"/>
          <w:lang w:val="nl-NL"/>
        </w:rPr>
        <w:t>(</w:t>
      </w:r>
      <w:r w:rsidR="006D0F41" w:rsidRPr="00F9357F">
        <w:rPr>
          <w:sz w:val="22"/>
          <w:lang w:val="nl-NL"/>
        </w:rPr>
        <w:t xml:space="preserve">C-555/07 </w:t>
      </w:r>
      <w:proofErr w:type="spellStart"/>
      <w:r w:rsidR="006D0F41" w:rsidRPr="00F9357F">
        <w:rPr>
          <w:sz w:val="22"/>
          <w:lang w:val="nl-NL"/>
        </w:rPr>
        <w:t>Kücükdeveci</w:t>
      </w:r>
      <w:proofErr w:type="spellEnd"/>
      <w:r w:rsidR="006D0F41" w:rsidRPr="00F9357F">
        <w:rPr>
          <w:sz w:val="22"/>
          <w:lang w:val="nl-NL"/>
        </w:rPr>
        <w:t>,</w:t>
      </w:r>
      <w:r w:rsidR="009B779A" w:rsidRPr="00F9357F">
        <w:rPr>
          <w:sz w:val="22"/>
          <w:lang w:val="nl-NL"/>
        </w:rPr>
        <w:t xml:space="preserve"> beginsel non-discriminatie op grond van leeftijd</w:t>
      </w:r>
      <w:r w:rsidR="006D0F41" w:rsidRPr="00F9357F">
        <w:rPr>
          <w:sz w:val="22"/>
          <w:lang w:val="nl-NL"/>
        </w:rPr>
        <w:t xml:space="preserve"> </w:t>
      </w:r>
      <w:r w:rsidR="00EC15C4" w:rsidRPr="00F9357F">
        <w:rPr>
          <w:sz w:val="22"/>
          <w:lang w:val="nl-NL"/>
        </w:rPr>
        <w:t xml:space="preserve">C-282/10 </w:t>
      </w:r>
      <w:proofErr w:type="spellStart"/>
      <w:r w:rsidR="00EC15C4" w:rsidRPr="00F9357F">
        <w:rPr>
          <w:sz w:val="22"/>
          <w:lang w:val="nl-NL"/>
        </w:rPr>
        <w:t>Dominguez</w:t>
      </w:r>
      <w:proofErr w:type="spellEnd"/>
      <w:r w:rsidR="009B779A" w:rsidRPr="00F9357F">
        <w:rPr>
          <w:sz w:val="22"/>
          <w:lang w:val="nl-NL"/>
        </w:rPr>
        <w:t xml:space="preserve">, recht op vakantie, </w:t>
      </w:r>
      <w:r w:rsidR="00187B0A" w:rsidRPr="00F9357F">
        <w:rPr>
          <w:sz w:val="22"/>
          <w:lang w:val="nl-NL"/>
        </w:rPr>
        <w:t xml:space="preserve">of C-591/10 </w:t>
      </w:r>
      <w:proofErr w:type="spellStart"/>
      <w:r w:rsidR="00187B0A" w:rsidRPr="00F9357F">
        <w:rPr>
          <w:sz w:val="22"/>
          <w:lang w:val="nl-NL"/>
        </w:rPr>
        <w:t>Littlewoods</w:t>
      </w:r>
      <w:proofErr w:type="spellEnd"/>
      <w:r w:rsidR="009B779A" w:rsidRPr="00F9357F">
        <w:rPr>
          <w:sz w:val="22"/>
          <w:lang w:val="nl-NL"/>
        </w:rPr>
        <w:t>, procedurele autonomie</w:t>
      </w:r>
      <w:r w:rsidR="00187B0A" w:rsidRPr="00F9357F">
        <w:rPr>
          <w:sz w:val="22"/>
          <w:lang w:val="nl-NL"/>
        </w:rPr>
        <w:t>)</w:t>
      </w:r>
      <w:r w:rsidR="000600F2" w:rsidRPr="00F9357F">
        <w:rPr>
          <w:sz w:val="22"/>
          <w:lang w:val="nl-NL"/>
        </w:rPr>
        <w:t xml:space="preserve">. </w:t>
      </w:r>
    </w:p>
    <w:p w:rsidR="00D519F6" w:rsidRPr="00E3223D" w:rsidRDefault="00393529" w:rsidP="00E3223D">
      <w:pPr>
        <w:pStyle w:val="ListParagraph"/>
        <w:pBdr>
          <w:top w:val="single" w:sz="4" w:space="1" w:color="auto"/>
          <w:left w:val="single" w:sz="4" w:space="4" w:color="auto"/>
          <w:bottom w:val="single" w:sz="4" w:space="1" w:color="auto"/>
          <w:right w:val="single" w:sz="4" w:space="4" w:color="auto"/>
        </w:pBdr>
        <w:ind w:left="2160"/>
        <w:jc w:val="both"/>
        <w:rPr>
          <w:sz w:val="22"/>
          <w:lang w:val="nl-NL"/>
        </w:rPr>
      </w:pPr>
      <w:r w:rsidRPr="00F9357F">
        <w:rPr>
          <w:sz w:val="22"/>
          <w:lang w:val="nl-NL"/>
        </w:rPr>
        <w:t>‘Nieuwe’ elementen uit h</w:t>
      </w:r>
      <w:r w:rsidR="000600F2" w:rsidRPr="00F9357F">
        <w:rPr>
          <w:sz w:val="22"/>
          <w:lang w:val="nl-NL"/>
        </w:rPr>
        <w:t xml:space="preserve">et Verdrag van Lissabon </w:t>
      </w:r>
      <w:r w:rsidR="00E733DA" w:rsidRPr="00F9357F">
        <w:rPr>
          <w:sz w:val="22"/>
          <w:lang w:val="nl-NL"/>
        </w:rPr>
        <w:t>(</w:t>
      </w:r>
      <w:proofErr w:type="spellStart"/>
      <w:r w:rsidR="00E733DA" w:rsidRPr="00F9357F">
        <w:rPr>
          <w:sz w:val="22"/>
          <w:lang w:val="nl-NL"/>
        </w:rPr>
        <w:t>VvL</w:t>
      </w:r>
      <w:proofErr w:type="spellEnd"/>
      <w:r w:rsidR="00E733DA" w:rsidRPr="00F9357F">
        <w:rPr>
          <w:sz w:val="22"/>
          <w:lang w:val="nl-NL"/>
        </w:rPr>
        <w:t xml:space="preserve">) </w:t>
      </w:r>
      <w:r w:rsidR="004539B6" w:rsidRPr="00F9357F">
        <w:rPr>
          <w:sz w:val="22"/>
          <w:lang w:val="nl-NL"/>
        </w:rPr>
        <w:t>over horizontale kwesties</w:t>
      </w:r>
      <w:r w:rsidR="00D519F6" w:rsidRPr="00F9357F">
        <w:rPr>
          <w:sz w:val="22"/>
          <w:lang w:val="nl-NL"/>
        </w:rPr>
        <w:t>.</w:t>
      </w:r>
      <w:r w:rsidR="00E60463" w:rsidRPr="00F9357F">
        <w:rPr>
          <w:sz w:val="22"/>
          <w:lang w:val="nl-NL"/>
        </w:rPr>
        <w:t xml:space="preserve"> </w:t>
      </w:r>
      <w:r w:rsidR="00055989" w:rsidRPr="00F9357F">
        <w:rPr>
          <w:sz w:val="22"/>
          <w:lang w:val="nl-NL"/>
        </w:rPr>
        <w:t>B</w:t>
      </w:r>
      <w:r w:rsidR="00E60463" w:rsidRPr="00F9357F">
        <w:rPr>
          <w:sz w:val="22"/>
          <w:lang w:val="nl-NL"/>
        </w:rPr>
        <w:t xml:space="preserve">ijvoorbeeld </w:t>
      </w:r>
      <w:r w:rsidR="00055989" w:rsidRPr="00F9357F">
        <w:rPr>
          <w:sz w:val="22"/>
          <w:lang w:val="nl-NL"/>
        </w:rPr>
        <w:t xml:space="preserve">de vraag of de Unie exclusief bevoegd is om op te treden </w:t>
      </w:r>
      <w:r w:rsidR="0060706F" w:rsidRPr="00F9357F">
        <w:rPr>
          <w:sz w:val="22"/>
          <w:lang w:val="nl-NL"/>
        </w:rPr>
        <w:t>in het kader van de externe betrekkingen</w:t>
      </w:r>
      <w:r w:rsidR="00E60463" w:rsidRPr="00F9357F">
        <w:rPr>
          <w:sz w:val="22"/>
          <w:lang w:val="nl-NL"/>
        </w:rPr>
        <w:t xml:space="preserve"> van de Unie</w:t>
      </w:r>
      <w:r w:rsidR="00055989" w:rsidRPr="00F9357F">
        <w:rPr>
          <w:sz w:val="22"/>
          <w:lang w:val="nl-NL"/>
        </w:rPr>
        <w:t xml:space="preserve"> en</w:t>
      </w:r>
      <w:r w:rsidR="0060706F" w:rsidRPr="00F9357F">
        <w:rPr>
          <w:sz w:val="22"/>
          <w:lang w:val="nl-NL"/>
        </w:rPr>
        <w:t xml:space="preserve"> </w:t>
      </w:r>
      <w:r w:rsidR="00074BDA" w:rsidRPr="00F9357F">
        <w:rPr>
          <w:sz w:val="22"/>
          <w:lang w:val="nl-NL"/>
        </w:rPr>
        <w:t xml:space="preserve">name. </w:t>
      </w:r>
      <w:r w:rsidR="00FD724A" w:rsidRPr="00F9357F">
        <w:rPr>
          <w:sz w:val="22"/>
          <w:lang w:val="nl-NL"/>
        </w:rPr>
        <w:t xml:space="preserve">(zie </w:t>
      </w:r>
      <w:r w:rsidR="00E733DA" w:rsidRPr="00F9357F">
        <w:rPr>
          <w:sz w:val="22"/>
          <w:lang w:val="nl-NL"/>
        </w:rPr>
        <w:t>zaak</w:t>
      </w:r>
      <w:r w:rsidR="009B779A" w:rsidRPr="00F9357F">
        <w:rPr>
          <w:sz w:val="22"/>
          <w:lang w:val="nl-NL"/>
        </w:rPr>
        <w:t xml:space="preserve"> </w:t>
      </w:r>
      <w:r w:rsidR="00E60463" w:rsidRPr="00F9357F">
        <w:rPr>
          <w:sz w:val="22"/>
          <w:lang w:val="nl-NL"/>
        </w:rPr>
        <w:t xml:space="preserve">C-414/11 </w:t>
      </w:r>
      <w:proofErr w:type="spellStart"/>
      <w:r w:rsidR="00E60463" w:rsidRPr="00F9357F">
        <w:rPr>
          <w:sz w:val="22"/>
          <w:lang w:val="nl-NL"/>
        </w:rPr>
        <w:t>Daiichi</w:t>
      </w:r>
      <w:proofErr w:type="spellEnd"/>
      <w:r w:rsidR="004539B6" w:rsidRPr="00F9357F">
        <w:rPr>
          <w:sz w:val="22"/>
          <w:lang w:val="nl-NL"/>
        </w:rPr>
        <w:t xml:space="preserve">, </w:t>
      </w:r>
      <w:r w:rsidR="00AD5CD8" w:rsidRPr="00F9357F">
        <w:rPr>
          <w:sz w:val="22"/>
          <w:lang w:val="nl-NL"/>
        </w:rPr>
        <w:t xml:space="preserve">nog geen uitspraak, </w:t>
      </w:r>
      <w:r w:rsidR="004539B6" w:rsidRPr="00F9357F">
        <w:rPr>
          <w:sz w:val="22"/>
          <w:lang w:val="nl-NL"/>
        </w:rPr>
        <w:t xml:space="preserve">over </w:t>
      </w:r>
      <w:r w:rsidR="00DC241F" w:rsidRPr="00F9357F">
        <w:rPr>
          <w:sz w:val="22"/>
          <w:lang w:val="nl-NL"/>
        </w:rPr>
        <w:t>de vraag of het hier gaat ‘</w:t>
      </w:r>
      <w:r w:rsidR="004539B6" w:rsidRPr="00F9357F">
        <w:rPr>
          <w:sz w:val="22"/>
          <w:lang w:val="nl-NL"/>
        </w:rPr>
        <w:t>handelsaspecten van intellectuele eigendom</w:t>
      </w:r>
      <w:r w:rsidR="00AD5CD8" w:rsidRPr="00F9357F">
        <w:rPr>
          <w:sz w:val="22"/>
          <w:lang w:val="nl-NL"/>
        </w:rPr>
        <w:t>”</w:t>
      </w:r>
      <w:r w:rsidR="00055989" w:rsidRPr="00F9357F">
        <w:rPr>
          <w:sz w:val="22"/>
          <w:lang w:val="nl-NL"/>
        </w:rPr>
        <w:t xml:space="preserve"> </w:t>
      </w:r>
      <w:r w:rsidR="00AD5CD8" w:rsidRPr="00F9357F">
        <w:rPr>
          <w:sz w:val="22"/>
          <w:lang w:val="nl-NL"/>
        </w:rPr>
        <w:t>en dus de EU exclusief bevoegd zou zijn, zoals de Commissie stelt).</w:t>
      </w:r>
    </w:p>
    <w:p w:rsidR="000600F2" w:rsidRPr="00F9357F" w:rsidRDefault="00D519F6" w:rsidP="00E3223D">
      <w:pPr>
        <w:pStyle w:val="ListParagraph"/>
        <w:pBdr>
          <w:top w:val="single" w:sz="4" w:space="1" w:color="auto"/>
          <w:left w:val="single" w:sz="4" w:space="4" w:color="auto"/>
          <w:bottom w:val="single" w:sz="4" w:space="1" w:color="auto"/>
          <w:right w:val="single" w:sz="4" w:space="4" w:color="auto"/>
        </w:pBdr>
        <w:ind w:left="2160"/>
        <w:jc w:val="both"/>
        <w:rPr>
          <w:sz w:val="22"/>
          <w:highlight w:val="yellow"/>
          <w:lang w:val="nl-NL"/>
        </w:rPr>
      </w:pPr>
      <w:r w:rsidRPr="00F9357F">
        <w:rPr>
          <w:sz w:val="22"/>
          <w:lang w:val="nl-NL"/>
        </w:rPr>
        <w:t xml:space="preserve">Ook het Handvest van de Grondrechten van de Europese Unie </w:t>
      </w:r>
      <w:r w:rsidR="00393529" w:rsidRPr="00F9357F">
        <w:rPr>
          <w:sz w:val="22"/>
          <w:lang w:val="nl-NL"/>
        </w:rPr>
        <w:t>he</w:t>
      </w:r>
      <w:r w:rsidRPr="00F9357F">
        <w:rPr>
          <w:sz w:val="22"/>
          <w:lang w:val="nl-NL"/>
        </w:rPr>
        <w:t xml:space="preserve">eft </w:t>
      </w:r>
      <w:r w:rsidR="00393529" w:rsidRPr="00F9357F">
        <w:rPr>
          <w:sz w:val="22"/>
          <w:lang w:val="nl-NL"/>
        </w:rPr>
        <w:t xml:space="preserve">tot een </w:t>
      </w:r>
      <w:r w:rsidR="0014586B" w:rsidRPr="00F9357F">
        <w:rPr>
          <w:sz w:val="22"/>
          <w:lang w:val="nl-NL"/>
        </w:rPr>
        <w:t>principiële</w:t>
      </w:r>
      <w:r w:rsidR="00393529" w:rsidRPr="00F9357F">
        <w:rPr>
          <w:sz w:val="22"/>
          <w:lang w:val="nl-NL"/>
        </w:rPr>
        <w:t xml:space="preserve"> inbreng van Nederland geleid</w:t>
      </w:r>
      <w:r w:rsidRPr="00F9357F">
        <w:rPr>
          <w:sz w:val="22"/>
          <w:lang w:val="nl-NL"/>
        </w:rPr>
        <w:t>.</w:t>
      </w:r>
      <w:r w:rsidR="00D34BE9" w:rsidRPr="00F9357F">
        <w:rPr>
          <w:sz w:val="22"/>
          <w:lang w:val="nl-NL"/>
        </w:rPr>
        <w:t xml:space="preserve"> </w:t>
      </w:r>
      <w:r w:rsidRPr="00F9357F">
        <w:rPr>
          <w:sz w:val="22"/>
          <w:lang w:val="nl-NL"/>
        </w:rPr>
        <w:lastRenderedPageBreak/>
        <w:t>Nederland</w:t>
      </w:r>
      <w:r w:rsidR="00AD5CD8" w:rsidRPr="00F9357F">
        <w:rPr>
          <w:sz w:val="22"/>
          <w:lang w:val="nl-NL"/>
        </w:rPr>
        <w:t xml:space="preserve">. </w:t>
      </w:r>
      <w:r w:rsidR="00944FD0" w:rsidRPr="00F9357F">
        <w:rPr>
          <w:sz w:val="22"/>
          <w:lang w:val="nl-NL"/>
        </w:rPr>
        <w:t xml:space="preserve">(C-617/10, </w:t>
      </w:r>
      <w:r w:rsidR="00A53F39" w:rsidRPr="00F9357F">
        <w:rPr>
          <w:sz w:val="22"/>
          <w:lang w:val="nl-NL"/>
        </w:rPr>
        <w:t xml:space="preserve">of </w:t>
      </w:r>
      <w:proofErr w:type="spellStart"/>
      <w:r w:rsidR="00944FD0" w:rsidRPr="00F9357F">
        <w:rPr>
          <w:sz w:val="22"/>
          <w:lang w:val="nl-NL"/>
        </w:rPr>
        <w:t>Akerberg</w:t>
      </w:r>
      <w:proofErr w:type="spellEnd"/>
      <w:r w:rsidR="00944FD0" w:rsidRPr="00F9357F">
        <w:rPr>
          <w:sz w:val="22"/>
          <w:lang w:val="nl-NL"/>
        </w:rPr>
        <w:t xml:space="preserve"> </w:t>
      </w:r>
      <w:proofErr w:type="spellStart"/>
      <w:r w:rsidR="00944FD0" w:rsidRPr="00F9357F">
        <w:rPr>
          <w:sz w:val="22"/>
          <w:lang w:val="nl-NL"/>
        </w:rPr>
        <w:t>Fransson</w:t>
      </w:r>
      <w:proofErr w:type="spellEnd"/>
      <w:r w:rsidR="00944FD0" w:rsidRPr="00F9357F">
        <w:rPr>
          <w:sz w:val="22"/>
          <w:lang w:val="nl-NL"/>
        </w:rPr>
        <w:t xml:space="preserve">, C-466/11 </w:t>
      </w:r>
      <w:proofErr w:type="spellStart"/>
      <w:r w:rsidR="00944FD0" w:rsidRPr="00F9357F">
        <w:rPr>
          <w:sz w:val="22"/>
          <w:lang w:val="nl-NL"/>
        </w:rPr>
        <w:t>Curra</w:t>
      </w:r>
      <w:proofErr w:type="spellEnd"/>
      <w:r w:rsidR="00944FD0" w:rsidRPr="00F9357F">
        <w:rPr>
          <w:sz w:val="22"/>
          <w:lang w:val="nl-NL"/>
        </w:rPr>
        <w:t xml:space="preserve"> Gennaro)</w:t>
      </w:r>
      <w:r w:rsidR="00E733DA" w:rsidRPr="00F9357F">
        <w:rPr>
          <w:sz w:val="22"/>
          <w:lang w:val="nl-NL"/>
        </w:rPr>
        <w:t>.</w:t>
      </w:r>
    </w:p>
    <w:p w:rsidR="00EF12A4" w:rsidRPr="00485740" w:rsidRDefault="00EF12A4" w:rsidP="00483F56">
      <w:pPr>
        <w:pStyle w:val="ListParagraph"/>
        <w:numPr>
          <w:ilvl w:val="0"/>
          <w:numId w:val="8"/>
        </w:numPr>
        <w:jc w:val="both"/>
        <w:rPr>
          <w:i/>
          <w:color w:val="0070C0"/>
          <w:sz w:val="22"/>
          <w:lang w:val="nl-NL"/>
        </w:rPr>
      </w:pPr>
    </w:p>
    <w:p w:rsidR="00162D80" w:rsidRDefault="00C17E3C" w:rsidP="00483F56">
      <w:pPr>
        <w:pStyle w:val="ListParagraph"/>
        <w:numPr>
          <w:ilvl w:val="0"/>
          <w:numId w:val="16"/>
        </w:numPr>
        <w:jc w:val="both"/>
        <w:rPr>
          <w:i/>
          <w:color w:val="0070C0"/>
          <w:sz w:val="22"/>
          <w:lang w:val="nl-NL"/>
        </w:rPr>
      </w:pPr>
      <w:r>
        <w:rPr>
          <w:i/>
          <w:color w:val="0070C0"/>
          <w:sz w:val="22"/>
          <w:lang w:val="nl-NL"/>
        </w:rPr>
        <w:t>B</w:t>
      </w:r>
      <w:r w:rsidR="00850B49" w:rsidRPr="001D0EE6">
        <w:rPr>
          <w:i/>
          <w:color w:val="0070C0"/>
          <w:sz w:val="22"/>
          <w:lang w:val="nl-NL"/>
        </w:rPr>
        <w:t>ij</w:t>
      </w:r>
      <w:r>
        <w:rPr>
          <w:i/>
          <w:color w:val="0070C0"/>
          <w:sz w:val="22"/>
          <w:lang w:val="nl-NL"/>
        </w:rPr>
        <w:t>drage</w:t>
      </w:r>
      <w:r w:rsidR="00850B49" w:rsidRPr="001D0EE6">
        <w:rPr>
          <w:i/>
          <w:color w:val="0070C0"/>
          <w:sz w:val="22"/>
          <w:lang w:val="nl-NL"/>
        </w:rPr>
        <w:t xml:space="preserve"> a</w:t>
      </w:r>
      <w:r w:rsidR="00162D80" w:rsidRPr="001D0EE6">
        <w:rPr>
          <w:i/>
          <w:color w:val="0070C0"/>
          <w:sz w:val="22"/>
          <w:lang w:val="nl-NL"/>
        </w:rPr>
        <w:t xml:space="preserve">an </w:t>
      </w:r>
      <w:r w:rsidR="003656E1">
        <w:rPr>
          <w:i/>
          <w:color w:val="0070C0"/>
          <w:sz w:val="22"/>
          <w:lang w:val="nl-NL"/>
        </w:rPr>
        <w:t xml:space="preserve">de </w:t>
      </w:r>
      <w:r w:rsidR="00850B49" w:rsidRPr="001D0EE6">
        <w:rPr>
          <w:i/>
          <w:color w:val="0070C0"/>
          <w:sz w:val="22"/>
          <w:lang w:val="nl-NL"/>
        </w:rPr>
        <w:t>ontwikkeling</w:t>
      </w:r>
      <w:r w:rsidR="00162D80" w:rsidRPr="001D0EE6">
        <w:rPr>
          <w:i/>
          <w:color w:val="0070C0"/>
          <w:sz w:val="22"/>
          <w:lang w:val="nl-NL"/>
        </w:rPr>
        <w:t xml:space="preserve"> </w:t>
      </w:r>
      <w:r w:rsidR="003656E1">
        <w:rPr>
          <w:i/>
          <w:color w:val="0070C0"/>
          <w:sz w:val="22"/>
          <w:lang w:val="nl-NL"/>
        </w:rPr>
        <w:t xml:space="preserve">van het </w:t>
      </w:r>
      <w:r w:rsidR="00162D80" w:rsidRPr="001D0EE6">
        <w:rPr>
          <w:i/>
          <w:color w:val="0070C0"/>
          <w:sz w:val="22"/>
          <w:lang w:val="nl-NL"/>
        </w:rPr>
        <w:t xml:space="preserve">Europees recht </w:t>
      </w:r>
    </w:p>
    <w:p w:rsidR="00132639" w:rsidRDefault="00132639" w:rsidP="00483F56">
      <w:pPr>
        <w:pStyle w:val="ListParagraph"/>
        <w:ind w:left="2160"/>
        <w:jc w:val="both"/>
        <w:rPr>
          <w:i/>
          <w:color w:val="0070C0"/>
          <w:sz w:val="22"/>
          <w:lang w:val="nl-NL"/>
        </w:rPr>
      </w:pPr>
    </w:p>
    <w:p w:rsidR="002F6E8F" w:rsidRDefault="00740B81" w:rsidP="00483F56">
      <w:pPr>
        <w:pStyle w:val="ListParagraph"/>
        <w:ind w:left="2160"/>
        <w:jc w:val="both"/>
        <w:rPr>
          <w:sz w:val="22"/>
          <w:lang w:val="nl-NL"/>
        </w:rPr>
      </w:pPr>
      <w:r>
        <w:rPr>
          <w:sz w:val="22"/>
          <w:lang w:val="nl-NL"/>
        </w:rPr>
        <w:t>In het licht van a</w:t>
      </w:r>
      <w:r w:rsidR="00132639">
        <w:rPr>
          <w:sz w:val="22"/>
          <w:lang w:val="nl-NL"/>
        </w:rPr>
        <w:t xml:space="preserve">rtikel 90 van de Grondwet </w:t>
      </w:r>
      <w:r>
        <w:rPr>
          <w:sz w:val="22"/>
          <w:lang w:val="nl-NL"/>
        </w:rPr>
        <w:t xml:space="preserve">(bevorderen </w:t>
      </w:r>
      <w:r w:rsidR="00132639">
        <w:rPr>
          <w:sz w:val="22"/>
          <w:lang w:val="nl-NL"/>
        </w:rPr>
        <w:t>ontwikkeling van de internationale rechtsorde</w:t>
      </w:r>
      <w:r>
        <w:rPr>
          <w:sz w:val="22"/>
          <w:lang w:val="nl-NL"/>
        </w:rPr>
        <w:t>)</w:t>
      </w:r>
      <w:r w:rsidR="00AD5CD8">
        <w:rPr>
          <w:sz w:val="22"/>
          <w:lang w:val="nl-NL"/>
        </w:rPr>
        <w:t xml:space="preserve"> kan deelname aan </w:t>
      </w:r>
      <w:r>
        <w:rPr>
          <w:sz w:val="22"/>
          <w:lang w:val="nl-NL"/>
        </w:rPr>
        <w:t xml:space="preserve">een </w:t>
      </w:r>
      <w:r w:rsidR="00AD5CD8">
        <w:rPr>
          <w:sz w:val="22"/>
          <w:lang w:val="nl-NL"/>
        </w:rPr>
        <w:t xml:space="preserve">Hofzaken </w:t>
      </w:r>
      <w:r>
        <w:rPr>
          <w:sz w:val="22"/>
          <w:lang w:val="nl-NL"/>
        </w:rPr>
        <w:t>opportuun zijn</w:t>
      </w:r>
      <w:r w:rsidR="00AD5CD8">
        <w:rPr>
          <w:sz w:val="22"/>
          <w:lang w:val="nl-NL"/>
        </w:rPr>
        <w:t xml:space="preserve">. </w:t>
      </w:r>
      <w:r w:rsidR="00590AA9">
        <w:rPr>
          <w:sz w:val="22"/>
          <w:lang w:val="nl-NL"/>
        </w:rPr>
        <w:t xml:space="preserve">Het gaat </w:t>
      </w:r>
      <w:r>
        <w:rPr>
          <w:sz w:val="22"/>
          <w:lang w:val="nl-NL"/>
        </w:rPr>
        <w:t>dan</w:t>
      </w:r>
      <w:r w:rsidR="00590AA9">
        <w:rPr>
          <w:sz w:val="22"/>
          <w:lang w:val="nl-NL"/>
        </w:rPr>
        <w:t xml:space="preserve"> om Europeesrechtelijke vraagstukken waar niet direct Nederlands beleid of regelgeving betrokken is</w:t>
      </w:r>
      <w:r w:rsidR="00F17F5A">
        <w:rPr>
          <w:sz w:val="22"/>
          <w:lang w:val="nl-NL"/>
        </w:rPr>
        <w:t>.</w:t>
      </w:r>
      <w:r w:rsidR="001D19F2">
        <w:rPr>
          <w:sz w:val="22"/>
          <w:lang w:val="nl-NL"/>
        </w:rPr>
        <w:t xml:space="preserve"> </w:t>
      </w:r>
      <w:r>
        <w:rPr>
          <w:sz w:val="22"/>
          <w:lang w:val="nl-NL"/>
        </w:rPr>
        <w:t>Dit is bijvoorbeeld het geval</w:t>
      </w:r>
      <w:r w:rsidR="00D34BE9">
        <w:rPr>
          <w:sz w:val="22"/>
          <w:lang w:val="nl-NL"/>
        </w:rPr>
        <w:t xml:space="preserve"> </w:t>
      </w:r>
      <w:r w:rsidR="002F6E8F">
        <w:rPr>
          <w:sz w:val="22"/>
          <w:lang w:val="nl-NL"/>
        </w:rPr>
        <w:t xml:space="preserve">in een zaak die </w:t>
      </w:r>
      <w:r w:rsidR="000A7B10" w:rsidRPr="000A7B10">
        <w:rPr>
          <w:sz w:val="22"/>
          <w:lang w:val="nl-NL"/>
        </w:rPr>
        <w:t>draait om een Europeesrechtelijk vraagstuk van principiële aard</w:t>
      </w:r>
      <w:r w:rsidR="00DD28A3">
        <w:rPr>
          <w:sz w:val="22"/>
          <w:lang w:val="nl-NL"/>
        </w:rPr>
        <w:t xml:space="preserve">. </w:t>
      </w:r>
      <w:r>
        <w:rPr>
          <w:sz w:val="22"/>
          <w:lang w:val="nl-NL"/>
        </w:rPr>
        <w:t>Een voorbeeld hiervan is</w:t>
      </w:r>
      <w:r w:rsidR="00DD28A3">
        <w:rPr>
          <w:sz w:val="22"/>
          <w:lang w:val="nl-NL"/>
        </w:rPr>
        <w:t xml:space="preserve"> </w:t>
      </w:r>
      <w:r w:rsidR="00432AC8">
        <w:rPr>
          <w:sz w:val="22"/>
          <w:lang w:val="nl-NL"/>
        </w:rPr>
        <w:t xml:space="preserve">zaak </w:t>
      </w:r>
      <w:r w:rsidR="00DD28A3" w:rsidRPr="00DD28A3">
        <w:rPr>
          <w:sz w:val="22"/>
          <w:lang w:val="nl-NL"/>
        </w:rPr>
        <w:t xml:space="preserve">C-526/08 Commissie tegen Luxemburg. </w:t>
      </w:r>
      <w:r w:rsidR="00DD28A3">
        <w:rPr>
          <w:sz w:val="22"/>
          <w:lang w:val="nl-NL"/>
        </w:rPr>
        <w:t>De vraag was of in deze in</w:t>
      </w:r>
      <w:r w:rsidR="00DD28A3" w:rsidRPr="00DD28A3">
        <w:rPr>
          <w:sz w:val="22"/>
          <w:lang w:val="nl-NL"/>
        </w:rPr>
        <w:t xml:space="preserve">breukprocedure het </w:t>
      </w:r>
      <w:proofErr w:type="spellStart"/>
      <w:r w:rsidR="00DD28A3" w:rsidRPr="00DD28A3">
        <w:rPr>
          <w:i/>
          <w:sz w:val="22"/>
          <w:lang w:val="nl-NL"/>
        </w:rPr>
        <w:t>ne</w:t>
      </w:r>
      <w:r w:rsidR="007F492E">
        <w:rPr>
          <w:i/>
          <w:sz w:val="22"/>
          <w:lang w:val="nl-NL"/>
        </w:rPr>
        <w:t>-</w:t>
      </w:r>
      <w:r w:rsidR="00DD28A3" w:rsidRPr="00DD28A3">
        <w:rPr>
          <w:i/>
          <w:sz w:val="22"/>
          <w:lang w:val="nl-NL"/>
        </w:rPr>
        <w:t>bis</w:t>
      </w:r>
      <w:r w:rsidR="007F492E">
        <w:rPr>
          <w:i/>
          <w:sz w:val="22"/>
          <w:lang w:val="nl-NL"/>
        </w:rPr>
        <w:t>-</w:t>
      </w:r>
      <w:r w:rsidR="00DD28A3" w:rsidRPr="00DD28A3">
        <w:rPr>
          <w:i/>
          <w:sz w:val="22"/>
          <w:lang w:val="nl-NL"/>
        </w:rPr>
        <w:t>in</w:t>
      </w:r>
      <w:r w:rsidR="007F492E">
        <w:rPr>
          <w:i/>
          <w:sz w:val="22"/>
          <w:lang w:val="nl-NL"/>
        </w:rPr>
        <w:t>-</w:t>
      </w:r>
      <w:r w:rsidR="00DD28A3" w:rsidRPr="00DD28A3">
        <w:rPr>
          <w:i/>
          <w:sz w:val="22"/>
          <w:lang w:val="nl-NL"/>
        </w:rPr>
        <w:t>idem</w:t>
      </w:r>
      <w:r w:rsidR="007F492E">
        <w:rPr>
          <w:i/>
          <w:sz w:val="22"/>
          <w:lang w:val="nl-NL"/>
        </w:rPr>
        <w:t>-</w:t>
      </w:r>
      <w:r w:rsidR="00DD28A3" w:rsidRPr="00DD28A3">
        <w:rPr>
          <w:sz w:val="22"/>
          <w:lang w:val="nl-NL"/>
        </w:rPr>
        <w:t>beginsel</w:t>
      </w:r>
      <w:proofErr w:type="spellEnd"/>
      <w:r w:rsidR="00DD28A3">
        <w:rPr>
          <w:sz w:val="22"/>
          <w:lang w:val="nl-NL"/>
        </w:rPr>
        <w:t xml:space="preserve"> van toepassing was</w:t>
      </w:r>
      <w:r w:rsidR="00DD28A3" w:rsidRPr="00DD28A3">
        <w:rPr>
          <w:sz w:val="22"/>
          <w:lang w:val="nl-NL"/>
        </w:rPr>
        <w:t>.</w:t>
      </w:r>
    </w:p>
    <w:p w:rsidR="00156E3C" w:rsidRPr="002F6E8F" w:rsidRDefault="00156E3C" w:rsidP="00483F56">
      <w:pPr>
        <w:pStyle w:val="ListParagraph"/>
        <w:jc w:val="both"/>
        <w:rPr>
          <w:i/>
          <w:color w:val="0070C0"/>
          <w:sz w:val="22"/>
          <w:lang w:val="nl-NL"/>
        </w:rPr>
      </w:pPr>
    </w:p>
    <w:p w:rsidR="00162D80" w:rsidRPr="00EB18EA" w:rsidRDefault="00162D80" w:rsidP="00483F56">
      <w:pPr>
        <w:pStyle w:val="ListParagraph"/>
        <w:numPr>
          <w:ilvl w:val="0"/>
          <w:numId w:val="16"/>
        </w:numPr>
        <w:jc w:val="both"/>
        <w:rPr>
          <w:i/>
          <w:color w:val="0070C0"/>
          <w:sz w:val="22"/>
          <w:lang w:val="nl-NL"/>
        </w:rPr>
      </w:pPr>
      <w:r w:rsidRPr="001D0EE6">
        <w:rPr>
          <w:i/>
          <w:color w:val="0070C0"/>
          <w:sz w:val="22"/>
          <w:lang w:val="nl-NL"/>
        </w:rPr>
        <w:t>Bevorderen diplomatieke betrekkingen</w:t>
      </w:r>
    </w:p>
    <w:p w:rsidR="00EB18EA" w:rsidRDefault="00EB18EA" w:rsidP="00483F56">
      <w:pPr>
        <w:pStyle w:val="ListParagraph"/>
        <w:ind w:left="2160"/>
        <w:jc w:val="both"/>
        <w:rPr>
          <w:sz w:val="22"/>
          <w:lang w:val="nl-NL"/>
        </w:rPr>
      </w:pPr>
    </w:p>
    <w:p w:rsidR="00EB18EA" w:rsidRDefault="00EB18EA" w:rsidP="00483F56">
      <w:pPr>
        <w:pStyle w:val="ListParagraph"/>
        <w:ind w:left="2160"/>
        <w:jc w:val="both"/>
        <w:rPr>
          <w:sz w:val="22"/>
          <w:lang w:val="nl-NL"/>
        </w:rPr>
      </w:pPr>
      <w:r>
        <w:rPr>
          <w:sz w:val="22"/>
          <w:lang w:val="nl-NL"/>
        </w:rPr>
        <w:t>Wanneer een andere lidstaat Nederland verzoekt aan zijn zijde inbreng te leveren in een specifieke zaak kan dat in het belang zijn van een goede verhouding van Nederland met die lidstaat.</w:t>
      </w:r>
    </w:p>
    <w:p w:rsidR="001E6A8C" w:rsidRDefault="00EB18EA" w:rsidP="00483F56">
      <w:pPr>
        <w:pStyle w:val="ListParagraph"/>
        <w:ind w:left="2160"/>
        <w:jc w:val="both"/>
        <w:rPr>
          <w:sz w:val="22"/>
          <w:lang w:val="nl-NL"/>
        </w:rPr>
      </w:pPr>
      <w:r>
        <w:rPr>
          <w:sz w:val="22"/>
          <w:lang w:val="nl-NL"/>
        </w:rPr>
        <w:t xml:space="preserve">Degelijke verzoeken kunnen binnekomen bij het Ministerie van Buitenlandse Zaken via DJZ/ER of de PVEU en ook bij de andere departementen. Het spreekt voor zich dat een dergelijk verzoek niet mag indruisen tegen de eigen Nederlandse belangen en het standpunt van de andere lidstaat inhoudelijk kan worden ondersteund. </w:t>
      </w:r>
    </w:p>
    <w:p w:rsidR="001E6A8C" w:rsidRDefault="001E6A8C" w:rsidP="00483F56">
      <w:pPr>
        <w:pStyle w:val="ListParagraph"/>
        <w:ind w:left="2160"/>
        <w:jc w:val="both"/>
        <w:rPr>
          <w:sz w:val="22"/>
          <w:lang w:val="nl-NL"/>
        </w:rPr>
      </w:pPr>
    </w:p>
    <w:p w:rsidR="006534CE" w:rsidRDefault="006534CE" w:rsidP="00483F56">
      <w:pPr>
        <w:pStyle w:val="ListParagraph"/>
        <w:ind w:left="1440"/>
        <w:jc w:val="both"/>
        <w:rPr>
          <w:sz w:val="22"/>
          <w:lang w:val="nl-NL"/>
        </w:rPr>
      </w:pPr>
    </w:p>
    <w:p w:rsidR="000A7B10" w:rsidRPr="00B52798" w:rsidRDefault="00740B81" w:rsidP="00483F56">
      <w:pPr>
        <w:pStyle w:val="ListParagraph"/>
        <w:numPr>
          <w:ilvl w:val="0"/>
          <w:numId w:val="16"/>
        </w:numPr>
        <w:jc w:val="both"/>
        <w:rPr>
          <w:color w:val="4F81BD" w:themeColor="accent1"/>
          <w:sz w:val="22"/>
          <w:lang w:val="nl-NL"/>
        </w:rPr>
      </w:pPr>
      <w:r>
        <w:rPr>
          <w:i/>
          <w:color w:val="4F81BD" w:themeColor="accent1"/>
          <w:sz w:val="22"/>
          <w:lang w:val="nl-NL"/>
        </w:rPr>
        <w:t xml:space="preserve">Financiële gevolgen </w:t>
      </w:r>
      <w:r w:rsidR="000A7B10" w:rsidRPr="00B52798">
        <w:rPr>
          <w:i/>
          <w:color w:val="4F81BD" w:themeColor="accent1"/>
          <w:sz w:val="22"/>
          <w:lang w:val="nl-NL"/>
        </w:rPr>
        <w:t>die kunnen voortvloeien uit een uitspraak</w:t>
      </w:r>
    </w:p>
    <w:p w:rsidR="00D34BE9" w:rsidRDefault="00D34BE9" w:rsidP="00483F56">
      <w:pPr>
        <w:pStyle w:val="ListParagraph"/>
        <w:ind w:left="2160"/>
        <w:jc w:val="both"/>
        <w:rPr>
          <w:sz w:val="22"/>
          <w:lang w:val="nl-NL"/>
        </w:rPr>
      </w:pPr>
    </w:p>
    <w:p w:rsidR="001C0477" w:rsidRDefault="00740B81" w:rsidP="00483F56">
      <w:pPr>
        <w:pStyle w:val="ListParagraph"/>
        <w:ind w:left="2160"/>
        <w:jc w:val="both"/>
        <w:rPr>
          <w:sz w:val="22"/>
          <w:lang w:val="nl-NL"/>
        </w:rPr>
      </w:pPr>
      <w:r>
        <w:rPr>
          <w:sz w:val="22"/>
          <w:lang w:val="nl-NL"/>
        </w:rPr>
        <w:t>Uitspraken van het Hof kunnen ook</w:t>
      </w:r>
      <w:r w:rsidR="003F5B9F" w:rsidRPr="00BC119A">
        <w:rPr>
          <w:sz w:val="22"/>
          <w:lang w:val="nl-NL"/>
        </w:rPr>
        <w:t xml:space="preserve"> </w:t>
      </w:r>
      <w:r w:rsidRPr="00740B81">
        <w:rPr>
          <w:sz w:val="22"/>
          <w:lang w:val="nl-NL"/>
        </w:rPr>
        <w:t>financiële</w:t>
      </w:r>
      <w:r w:rsidRPr="00BC119A">
        <w:rPr>
          <w:sz w:val="22"/>
          <w:lang w:val="nl-NL"/>
        </w:rPr>
        <w:t xml:space="preserve"> gevolgen</w:t>
      </w:r>
      <w:r w:rsidR="003F5B9F" w:rsidRPr="000A7B10">
        <w:rPr>
          <w:sz w:val="22"/>
          <w:lang w:val="nl-NL"/>
        </w:rPr>
        <w:t xml:space="preserve"> </w:t>
      </w:r>
      <w:r>
        <w:rPr>
          <w:sz w:val="22"/>
          <w:lang w:val="nl-NL"/>
        </w:rPr>
        <w:t xml:space="preserve">hebben. Deze </w:t>
      </w:r>
      <w:r w:rsidR="00EF12A4">
        <w:rPr>
          <w:sz w:val="22"/>
          <w:lang w:val="nl-NL"/>
        </w:rPr>
        <w:t xml:space="preserve">kunnen aanleiding zijn om opmerkingen in te dienen. </w:t>
      </w:r>
    </w:p>
    <w:p w:rsidR="00F9357F" w:rsidRDefault="00F9357F" w:rsidP="00483F56">
      <w:pPr>
        <w:pStyle w:val="ListParagraph"/>
        <w:ind w:left="2160"/>
        <w:jc w:val="both"/>
        <w:rPr>
          <w:sz w:val="22"/>
          <w:lang w:val="nl-NL"/>
        </w:rPr>
      </w:pPr>
    </w:p>
    <w:p w:rsidR="003656E1" w:rsidRDefault="00740B81" w:rsidP="00E3223D">
      <w:pPr>
        <w:pStyle w:val="ListParagraph"/>
        <w:pBdr>
          <w:top w:val="single" w:sz="4" w:space="1" w:color="auto"/>
          <w:left w:val="single" w:sz="4" w:space="4" w:color="auto"/>
          <w:bottom w:val="single" w:sz="4" w:space="1" w:color="auto"/>
          <w:right w:val="single" w:sz="4" w:space="4" w:color="auto"/>
        </w:pBdr>
        <w:ind w:left="2160"/>
        <w:jc w:val="both"/>
        <w:rPr>
          <w:sz w:val="22"/>
          <w:lang w:val="nl-NL"/>
        </w:rPr>
      </w:pPr>
      <w:r>
        <w:rPr>
          <w:sz w:val="22"/>
          <w:lang w:val="nl-NL"/>
        </w:rPr>
        <w:t>Te denken valt aan gevolgen voor sociale voorzieningen of inkomsten ui</w:t>
      </w:r>
      <w:r w:rsidR="001C0477">
        <w:rPr>
          <w:sz w:val="22"/>
          <w:lang w:val="nl-NL"/>
        </w:rPr>
        <w:t xml:space="preserve">t </w:t>
      </w:r>
      <w:r w:rsidRPr="00740B81">
        <w:rPr>
          <w:sz w:val="22"/>
          <w:lang w:val="nl-NL"/>
        </w:rPr>
        <w:t xml:space="preserve">belastingen of administratieve leges </w:t>
      </w:r>
      <w:r w:rsidR="00483F56">
        <w:rPr>
          <w:sz w:val="22"/>
          <w:lang w:val="nl-NL"/>
        </w:rPr>
        <w:t>naar aanleiding van een uitspraak</w:t>
      </w:r>
      <w:r w:rsidRPr="00740B81">
        <w:rPr>
          <w:sz w:val="22"/>
          <w:lang w:val="nl-NL"/>
        </w:rPr>
        <w:t>.</w:t>
      </w:r>
      <w:r w:rsidR="001C0477">
        <w:rPr>
          <w:sz w:val="22"/>
          <w:lang w:val="nl-NL"/>
        </w:rPr>
        <w:t xml:space="preserve"> De dreiging van schadeclaims kan ook aanleiding zijn om deel te nemen aan een prejudiciële zaak</w:t>
      </w:r>
      <w:r w:rsidR="003F5B9F" w:rsidRPr="000A7B10">
        <w:rPr>
          <w:sz w:val="22"/>
          <w:lang w:val="nl-NL"/>
        </w:rPr>
        <w:t xml:space="preserve"> </w:t>
      </w:r>
      <w:r w:rsidR="00EF12A4">
        <w:rPr>
          <w:sz w:val="22"/>
          <w:lang w:val="nl-NL"/>
        </w:rPr>
        <w:t>(</w:t>
      </w:r>
      <w:proofErr w:type="spellStart"/>
      <w:r w:rsidR="00EF12A4">
        <w:rPr>
          <w:sz w:val="22"/>
          <w:lang w:val="nl-NL"/>
        </w:rPr>
        <w:t>vgl</w:t>
      </w:r>
      <w:proofErr w:type="spellEnd"/>
      <w:r w:rsidR="00EF12A4">
        <w:rPr>
          <w:sz w:val="22"/>
          <w:lang w:val="nl-NL"/>
        </w:rPr>
        <w:t xml:space="preserve"> zaken over vakantiewetgev</w:t>
      </w:r>
      <w:r w:rsidR="00F9357F">
        <w:rPr>
          <w:sz w:val="22"/>
          <w:lang w:val="nl-NL"/>
        </w:rPr>
        <w:t>ing</w:t>
      </w:r>
      <w:r w:rsidR="00EF12A4">
        <w:rPr>
          <w:sz w:val="22"/>
          <w:lang w:val="nl-NL"/>
        </w:rPr>
        <w:t xml:space="preserve"> C-</w:t>
      </w:r>
      <w:r w:rsidR="002F6E8F">
        <w:rPr>
          <w:sz w:val="22"/>
          <w:lang w:val="nl-NL"/>
        </w:rPr>
        <w:t xml:space="preserve">520/06 </w:t>
      </w:r>
      <w:proofErr w:type="spellStart"/>
      <w:r w:rsidR="002F6E8F">
        <w:rPr>
          <w:sz w:val="22"/>
          <w:lang w:val="nl-NL"/>
        </w:rPr>
        <w:t>Stringer</w:t>
      </w:r>
      <w:proofErr w:type="spellEnd"/>
      <w:r w:rsidR="002F6E8F">
        <w:rPr>
          <w:sz w:val="22"/>
          <w:lang w:val="nl-NL"/>
        </w:rPr>
        <w:t xml:space="preserve"> e.a.</w:t>
      </w:r>
      <w:r w:rsidR="00483F56">
        <w:rPr>
          <w:sz w:val="22"/>
          <w:lang w:val="nl-NL"/>
        </w:rPr>
        <w:t xml:space="preserve"> die betekende dat de door Nederland gekozen vervaltermijn van het recht op vakantie te kort was</w:t>
      </w:r>
      <w:r w:rsidR="00EF12A4">
        <w:rPr>
          <w:sz w:val="22"/>
          <w:lang w:val="nl-NL"/>
        </w:rPr>
        <w:t>)</w:t>
      </w:r>
      <w:r w:rsidR="001C0477">
        <w:rPr>
          <w:sz w:val="22"/>
          <w:lang w:val="nl-NL"/>
        </w:rPr>
        <w:t>.</w:t>
      </w:r>
    </w:p>
    <w:p w:rsidR="00EF12A4" w:rsidRPr="000A7B10" w:rsidRDefault="00EF12A4" w:rsidP="00483F56">
      <w:pPr>
        <w:pStyle w:val="ListParagraph"/>
        <w:ind w:left="2160"/>
        <w:jc w:val="both"/>
        <w:rPr>
          <w:sz w:val="22"/>
          <w:lang w:val="nl-NL"/>
        </w:rPr>
      </w:pPr>
    </w:p>
    <w:p w:rsidR="00B97990" w:rsidRDefault="00B97990" w:rsidP="00483F56">
      <w:pPr>
        <w:jc w:val="both"/>
        <w:rPr>
          <w:sz w:val="22"/>
          <w:lang w:val="nl-NL"/>
        </w:rPr>
      </w:pPr>
      <w:r>
        <w:rPr>
          <w:sz w:val="22"/>
          <w:lang w:val="nl-NL"/>
        </w:rPr>
        <w:br w:type="page"/>
      </w:r>
    </w:p>
    <w:p w:rsidR="00B20AE3" w:rsidRDefault="00B20AE3" w:rsidP="00483F56">
      <w:pPr>
        <w:pStyle w:val="ListParagraph"/>
        <w:ind w:left="1440"/>
        <w:jc w:val="both"/>
        <w:rPr>
          <w:sz w:val="22"/>
          <w:lang w:val="nl-NL"/>
        </w:rPr>
      </w:pPr>
    </w:p>
    <w:p w:rsidR="003B419D" w:rsidRDefault="003B419D" w:rsidP="00483F56">
      <w:pPr>
        <w:pStyle w:val="ListParagraph"/>
        <w:numPr>
          <w:ilvl w:val="0"/>
          <w:numId w:val="17"/>
        </w:numPr>
        <w:jc w:val="both"/>
        <w:rPr>
          <w:b/>
          <w:sz w:val="22"/>
          <w:lang w:val="nl-NL"/>
        </w:rPr>
      </w:pPr>
      <w:r w:rsidRPr="00302C51">
        <w:rPr>
          <w:b/>
          <w:sz w:val="22"/>
          <w:lang w:val="nl-NL"/>
        </w:rPr>
        <w:t>De mondelinge behandeling</w:t>
      </w:r>
    </w:p>
    <w:p w:rsidR="00CF0D70" w:rsidRDefault="00CF0D70" w:rsidP="00483F56">
      <w:pPr>
        <w:pStyle w:val="ListParagraph"/>
        <w:ind w:left="1440"/>
        <w:jc w:val="both"/>
        <w:rPr>
          <w:sz w:val="22"/>
          <w:lang w:val="nl-NL"/>
        </w:rPr>
      </w:pPr>
    </w:p>
    <w:p w:rsidR="000147B2" w:rsidRPr="00BC119A" w:rsidRDefault="000147B2" w:rsidP="00483F56">
      <w:pPr>
        <w:pStyle w:val="ListParagraph"/>
        <w:ind w:left="1440" w:firstLine="360"/>
        <w:jc w:val="both"/>
        <w:rPr>
          <w:sz w:val="22"/>
          <w:lang w:val="nl-NL"/>
        </w:rPr>
      </w:pPr>
    </w:p>
    <w:p w:rsidR="000147B2" w:rsidRPr="00BC119A" w:rsidRDefault="000147B2" w:rsidP="00483F56">
      <w:pPr>
        <w:pStyle w:val="ListParagraph"/>
        <w:ind w:left="1843"/>
        <w:jc w:val="both"/>
        <w:rPr>
          <w:sz w:val="22"/>
          <w:lang w:val="nl-NL"/>
        </w:rPr>
      </w:pPr>
      <w:r w:rsidRPr="00BC119A">
        <w:rPr>
          <w:sz w:val="22"/>
          <w:lang w:val="nl-NL"/>
        </w:rPr>
        <w:t xml:space="preserve">Partijen, de instellingen en de lidstaten kunnen een (gemotiveerd) verzoek doen aan het Hof voor het houden van een hoorzitting, ook wel mondelinge behandeling genoemd (artikel 76 </w:t>
      </w:r>
      <w:proofErr w:type="spellStart"/>
      <w:r w:rsidRPr="00BC119A">
        <w:rPr>
          <w:sz w:val="22"/>
          <w:lang w:val="nl-NL"/>
        </w:rPr>
        <w:t>RvP</w:t>
      </w:r>
      <w:proofErr w:type="spellEnd"/>
      <w:r w:rsidRPr="00BC119A">
        <w:rPr>
          <w:sz w:val="22"/>
          <w:lang w:val="nl-NL"/>
        </w:rPr>
        <w:t xml:space="preserve"> Hof, hierna ‘MB’). Het zal niet in elke zaak nodig zijn een MB aan te vragen.</w:t>
      </w:r>
    </w:p>
    <w:p w:rsidR="000147B2" w:rsidRDefault="000147B2" w:rsidP="00483F56">
      <w:pPr>
        <w:pStyle w:val="ListParagraph"/>
        <w:ind w:left="1440" w:firstLine="360"/>
        <w:jc w:val="both"/>
        <w:rPr>
          <w:i/>
          <w:sz w:val="22"/>
          <w:lang w:val="nl-NL"/>
        </w:rPr>
      </w:pPr>
    </w:p>
    <w:p w:rsidR="00CF0D70" w:rsidRDefault="00CF0D70" w:rsidP="00483F56">
      <w:pPr>
        <w:pStyle w:val="ListParagraph"/>
        <w:ind w:left="1440" w:firstLine="360"/>
        <w:jc w:val="both"/>
        <w:rPr>
          <w:i/>
          <w:sz w:val="22"/>
          <w:lang w:val="nl-NL"/>
        </w:rPr>
      </w:pPr>
      <w:r>
        <w:rPr>
          <w:i/>
          <w:sz w:val="22"/>
          <w:lang w:val="nl-NL"/>
        </w:rPr>
        <w:t>Aanvraag</w:t>
      </w:r>
    </w:p>
    <w:p w:rsidR="00B97990" w:rsidRDefault="00B97990" w:rsidP="00483F56">
      <w:pPr>
        <w:pStyle w:val="ListParagraph"/>
        <w:ind w:left="1440" w:firstLine="360"/>
        <w:jc w:val="both"/>
        <w:rPr>
          <w:i/>
          <w:sz w:val="22"/>
          <w:lang w:val="nl-NL"/>
        </w:rPr>
      </w:pPr>
    </w:p>
    <w:p w:rsidR="00DD28A3" w:rsidRDefault="00CF0D70" w:rsidP="00483F56">
      <w:pPr>
        <w:pStyle w:val="ListParagraph"/>
        <w:ind w:left="1800"/>
        <w:jc w:val="both"/>
        <w:rPr>
          <w:sz w:val="22"/>
          <w:lang w:val="nl-NL"/>
        </w:rPr>
      </w:pPr>
      <w:r>
        <w:rPr>
          <w:sz w:val="22"/>
          <w:lang w:val="nl-NL"/>
        </w:rPr>
        <w:t xml:space="preserve">In beginsel zal het Nederlandse standpunt al verwoord zijn in de schriftelijke stukken. </w:t>
      </w:r>
    </w:p>
    <w:p w:rsidR="00DD28A3" w:rsidRDefault="00DD28A3" w:rsidP="00483F56">
      <w:pPr>
        <w:pStyle w:val="ListParagraph"/>
        <w:ind w:left="1440"/>
        <w:jc w:val="both"/>
        <w:rPr>
          <w:sz w:val="22"/>
          <w:lang w:val="nl-NL"/>
        </w:rPr>
      </w:pPr>
    </w:p>
    <w:p w:rsidR="00DD28A3" w:rsidRDefault="001C0477" w:rsidP="00483F56">
      <w:pPr>
        <w:pStyle w:val="ListParagraph"/>
        <w:ind w:left="1800"/>
        <w:jc w:val="both"/>
        <w:rPr>
          <w:sz w:val="22"/>
          <w:lang w:val="nl-NL"/>
        </w:rPr>
      </w:pPr>
      <w:r>
        <w:rPr>
          <w:sz w:val="22"/>
          <w:lang w:val="nl-NL"/>
        </w:rPr>
        <w:t>E</w:t>
      </w:r>
      <w:r w:rsidR="00CF0D70">
        <w:rPr>
          <w:sz w:val="22"/>
          <w:lang w:val="nl-NL"/>
        </w:rPr>
        <w:t>lementen</w:t>
      </w:r>
      <w:r w:rsidR="00DD28A3">
        <w:rPr>
          <w:sz w:val="22"/>
          <w:lang w:val="nl-NL"/>
        </w:rPr>
        <w:t xml:space="preserve"> </w:t>
      </w:r>
      <w:r>
        <w:rPr>
          <w:sz w:val="22"/>
          <w:lang w:val="nl-NL"/>
        </w:rPr>
        <w:t>die een rol spelen</w:t>
      </w:r>
      <w:r w:rsidR="00483F56">
        <w:rPr>
          <w:sz w:val="22"/>
          <w:lang w:val="nl-NL"/>
        </w:rPr>
        <w:t xml:space="preserve"> </w:t>
      </w:r>
      <w:r>
        <w:rPr>
          <w:sz w:val="22"/>
          <w:lang w:val="nl-NL"/>
        </w:rPr>
        <w:t xml:space="preserve">bij de overweging om een </w:t>
      </w:r>
      <w:r w:rsidR="00DD28A3">
        <w:rPr>
          <w:sz w:val="22"/>
          <w:lang w:val="nl-NL"/>
        </w:rPr>
        <w:t>MB</w:t>
      </w:r>
      <w:r>
        <w:rPr>
          <w:sz w:val="22"/>
          <w:lang w:val="nl-NL"/>
        </w:rPr>
        <w:t xml:space="preserve"> aan te vragen zijn</w:t>
      </w:r>
      <w:r w:rsidR="00DD28A3">
        <w:rPr>
          <w:sz w:val="22"/>
          <w:lang w:val="nl-NL"/>
        </w:rPr>
        <w:t>:</w:t>
      </w:r>
    </w:p>
    <w:p w:rsidR="00483F56" w:rsidRDefault="00483F56" w:rsidP="00483F56">
      <w:pPr>
        <w:pStyle w:val="ListParagraph"/>
        <w:ind w:left="1800"/>
        <w:jc w:val="both"/>
        <w:rPr>
          <w:sz w:val="22"/>
          <w:lang w:val="nl-NL"/>
        </w:rPr>
      </w:pPr>
    </w:p>
    <w:p w:rsidR="00DD28A3" w:rsidRDefault="000147B2" w:rsidP="00483F56">
      <w:pPr>
        <w:pStyle w:val="ListParagraph"/>
        <w:numPr>
          <w:ilvl w:val="0"/>
          <w:numId w:val="15"/>
        </w:numPr>
        <w:jc w:val="both"/>
        <w:rPr>
          <w:sz w:val="22"/>
          <w:lang w:val="nl-NL"/>
        </w:rPr>
      </w:pPr>
      <w:r>
        <w:rPr>
          <w:sz w:val="22"/>
          <w:lang w:val="nl-NL"/>
        </w:rPr>
        <w:t xml:space="preserve">Wens/noodzaak </w:t>
      </w:r>
      <w:r w:rsidR="00DD28A3">
        <w:rPr>
          <w:sz w:val="22"/>
          <w:lang w:val="nl-NL"/>
        </w:rPr>
        <w:t xml:space="preserve">inhoudelijk te reageren op specifieke argumenten in de SO van de anderen (lidstaten of instellingen); </w:t>
      </w:r>
    </w:p>
    <w:p w:rsidR="00DD28A3" w:rsidRDefault="000147B2" w:rsidP="00483F56">
      <w:pPr>
        <w:pStyle w:val="ListParagraph"/>
        <w:numPr>
          <w:ilvl w:val="0"/>
          <w:numId w:val="15"/>
        </w:numPr>
        <w:jc w:val="both"/>
        <w:rPr>
          <w:sz w:val="22"/>
          <w:lang w:val="nl-NL"/>
        </w:rPr>
      </w:pPr>
      <w:r>
        <w:rPr>
          <w:sz w:val="22"/>
          <w:lang w:val="nl-NL"/>
        </w:rPr>
        <w:t>Wens/noodzaak t</w:t>
      </w:r>
      <w:r w:rsidR="00DD28A3" w:rsidRPr="005B3E13">
        <w:rPr>
          <w:sz w:val="22"/>
          <w:lang w:val="nl-NL"/>
        </w:rPr>
        <w:t>e reageren op recente rechtspraak (van na de SO) en uiteen te zetten wat daar volgens de Nederlandse regering de gevolgen van zijn voor de zaak</w:t>
      </w:r>
      <w:r w:rsidR="00DD28A3">
        <w:rPr>
          <w:sz w:val="22"/>
          <w:lang w:val="nl-NL"/>
        </w:rPr>
        <w:t>;</w:t>
      </w:r>
    </w:p>
    <w:p w:rsidR="00B97990" w:rsidRDefault="00B97990" w:rsidP="00483F56">
      <w:pPr>
        <w:pStyle w:val="ListParagraph"/>
        <w:numPr>
          <w:ilvl w:val="0"/>
          <w:numId w:val="15"/>
        </w:numPr>
        <w:jc w:val="both"/>
        <w:rPr>
          <w:sz w:val="22"/>
          <w:lang w:val="nl-NL"/>
        </w:rPr>
      </w:pPr>
      <w:r>
        <w:rPr>
          <w:sz w:val="22"/>
          <w:lang w:val="nl-NL"/>
        </w:rPr>
        <w:t>Politieke redenen</w:t>
      </w:r>
      <w:r w:rsidR="003D3FDB">
        <w:rPr>
          <w:sz w:val="22"/>
          <w:lang w:val="nl-NL"/>
        </w:rPr>
        <w:t xml:space="preserve"> </w:t>
      </w:r>
    </w:p>
    <w:p w:rsidR="00CF0D70" w:rsidRDefault="00CF0D70" w:rsidP="00483F56">
      <w:pPr>
        <w:pStyle w:val="ListParagraph"/>
        <w:ind w:left="2160"/>
        <w:jc w:val="both"/>
        <w:rPr>
          <w:sz w:val="22"/>
          <w:lang w:val="nl-NL"/>
        </w:rPr>
      </w:pPr>
    </w:p>
    <w:p w:rsidR="002F6E8F" w:rsidRDefault="002F6E8F" w:rsidP="00483F56">
      <w:pPr>
        <w:pStyle w:val="ListParagraph"/>
        <w:ind w:left="1440"/>
        <w:jc w:val="both"/>
        <w:rPr>
          <w:b/>
          <w:i/>
          <w:sz w:val="22"/>
          <w:lang w:val="nl-NL"/>
        </w:rPr>
      </w:pPr>
    </w:p>
    <w:p w:rsidR="00DD28A3" w:rsidRPr="00DD28A3" w:rsidRDefault="00DD28A3" w:rsidP="00483F56">
      <w:pPr>
        <w:pStyle w:val="ListParagraph"/>
        <w:ind w:left="1440" w:firstLine="360"/>
        <w:jc w:val="both"/>
        <w:rPr>
          <w:i/>
          <w:sz w:val="22"/>
          <w:lang w:val="nl-NL"/>
        </w:rPr>
      </w:pPr>
      <w:r w:rsidRPr="00DD28A3">
        <w:rPr>
          <w:i/>
          <w:sz w:val="22"/>
          <w:lang w:val="nl-NL"/>
        </w:rPr>
        <w:t>Deelname</w:t>
      </w:r>
    </w:p>
    <w:p w:rsidR="00D34BE9" w:rsidRDefault="00D34BE9" w:rsidP="00483F56">
      <w:pPr>
        <w:pStyle w:val="ListParagraph"/>
        <w:ind w:left="1843"/>
        <w:jc w:val="both"/>
        <w:rPr>
          <w:sz w:val="22"/>
          <w:lang w:val="nl-NL"/>
        </w:rPr>
      </w:pPr>
    </w:p>
    <w:p w:rsidR="00A952DD" w:rsidRDefault="000147B2" w:rsidP="00483F56">
      <w:pPr>
        <w:pStyle w:val="ListParagraph"/>
        <w:ind w:left="1843"/>
        <w:jc w:val="both"/>
        <w:rPr>
          <w:sz w:val="22"/>
          <w:lang w:val="nl-NL"/>
        </w:rPr>
      </w:pPr>
      <w:r>
        <w:rPr>
          <w:sz w:val="22"/>
          <w:lang w:val="nl-NL"/>
        </w:rPr>
        <w:t xml:space="preserve">Ook indien de Nederlandse regering geen aanvraag voor een MB gedaan heeft, kan er een MB plaatsvinden en kan de Nederlandse regering besluiten daaraan deel te nemen. </w:t>
      </w:r>
    </w:p>
    <w:p w:rsidR="00A952DD" w:rsidRDefault="00A952DD" w:rsidP="00483F56">
      <w:pPr>
        <w:pStyle w:val="ListParagraph"/>
        <w:ind w:left="1843"/>
        <w:jc w:val="both"/>
        <w:rPr>
          <w:sz w:val="22"/>
          <w:lang w:val="nl-NL"/>
        </w:rPr>
      </w:pPr>
    </w:p>
    <w:p w:rsidR="000147B2" w:rsidRDefault="00074BDA" w:rsidP="00483F56">
      <w:pPr>
        <w:pStyle w:val="ListParagraph"/>
        <w:ind w:left="1843"/>
        <w:jc w:val="both"/>
        <w:rPr>
          <w:sz w:val="22"/>
          <w:lang w:val="nl-NL"/>
        </w:rPr>
      </w:pPr>
      <w:r>
        <w:rPr>
          <w:sz w:val="22"/>
          <w:lang w:val="nl-NL"/>
        </w:rPr>
        <w:t>Bij de overweging om dan alsnog te gaan zijn d</w:t>
      </w:r>
      <w:r w:rsidR="00A952DD">
        <w:rPr>
          <w:sz w:val="22"/>
          <w:lang w:val="nl-NL"/>
        </w:rPr>
        <w:t xml:space="preserve">e volgende elementen </w:t>
      </w:r>
      <w:r>
        <w:rPr>
          <w:sz w:val="22"/>
          <w:lang w:val="nl-NL"/>
        </w:rPr>
        <w:t>van belang</w:t>
      </w:r>
      <w:r w:rsidR="00A952DD">
        <w:rPr>
          <w:sz w:val="22"/>
          <w:lang w:val="nl-NL"/>
        </w:rPr>
        <w:t>:</w:t>
      </w:r>
    </w:p>
    <w:p w:rsidR="000147B2" w:rsidRDefault="000147B2" w:rsidP="00483F56">
      <w:pPr>
        <w:pStyle w:val="ListParagraph"/>
        <w:ind w:left="1800"/>
        <w:jc w:val="both"/>
        <w:rPr>
          <w:sz w:val="22"/>
          <w:lang w:val="nl-NL"/>
        </w:rPr>
      </w:pPr>
    </w:p>
    <w:p w:rsidR="000147B2" w:rsidRPr="000147B2" w:rsidRDefault="00A952DD" w:rsidP="000B2DC7">
      <w:pPr>
        <w:pStyle w:val="ListParagraph"/>
        <w:numPr>
          <w:ilvl w:val="2"/>
          <w:numId w:val="22"/>
        </w:numPr>
        <w:jc w:val="both"/>
        <w:rPr>
          <w:sz w:val="22"/>
          <w:lang w:val="nl-NL"/>
        </w:rPr>
      </w:pPr>
      <w:r>
        <w:rPr>
          <w:sz w:val="22"/>
          <w:lang w:val="nl-NL"/>
        </w:rPr>
        <w:t>D</w:t>
      </w:r>
      <w:r w:rsidR="000147B2" w:rsidRPr="000147B2">
        <w:rPr>
          <w:sz w:val="22"/>
          <w:lang w:val="nl-NL"/>
        </w:rPr>
        <w:t xml:space="preserve">e inbreng van de Nederlandse regering ter zitting </w:t>
      </w:r>
      <w:r>
        <w:rPr>
          <w:sz w:val="22"/>
          <w:lang w:val="nl-NL"/>
        </w:rPr>
        <w:t xml:space="preserve">is </w:t>
      </w:r>
      <w:proofErr w:type="gramStart"/>
      <w:r>
        <w:rPr>
          <w:sz w:val="22"/>
          <w:lang w:val="nl-NL"/>
        </w:rPr>
        <w:t>met name</w:t>
      </w:r>
      <w:proofErr w:type="gramEnd"/>
      <w:r>
        <w:rPr>
          <w:sz w:val="22"/>
          <w:lang w:val="nl-NL"/>
        </w:rPr>
        <w:t xml:space="preserve"> </w:t>
      </w:r>
      <w:r w:rsidR="000147B2" w:rsidRPr="000147B2">
        <w:rPr>
          <w:sz w:val="22"/>
          <w:lang w:val="nl-NL"/>
        </w:rPr>
        <w:t xml:space="preserve">wenselijk wanneer het gaat om een Nederlandse zaak en daarbij te verwachten is dat er vragen worden gesteld over het Nederlandse recht of beleid. </w:t>
      </w:r>
    </w:p>
    <w:p w:rsidR="000147B2" w:rsidRPr="000147B2" w:rsidRDefault="000147B2" w:rsidP="00483F56">
      <w:pPr>
        <w:pStyle w:val="ListParagraph"/>
        <w:numPr>
          <w:ilvl w:val="2"/>
          <w:numId w:val="22"/>
        </w:numPr>
        <w:jc w:val="both"/>
        <w:rPr>
          <w:sz w:val="22"/>
          <w:lang w:val="nl-NL"/>
        </w:rPr>
      </w:pPr>
      <w:r w:rsidRPr="000147B2">
        <w:rPr>
          <w:sz w:val="22"/>
          <w:lang w:val="nl-NL"/>
        </w:rPr>
        <w:t>Wens/noodzaak inhoudelijk te reageren op specifieke argumenten in de SO van de andere</w:t>
      </w:r>
      <w:r w:rsidR="00A952DD">
        <w:rPr>
          <w:sz w:val="22"/>
          <w:lang w:val="nl-NL"/>
        </w:rPr>
        <w:t>n (lidstaten of instellingen); W</w:t>
      </w:r>
      <w:r w:rsidRPr="000147B2">
        <w:rPr>
          <w:sz w:val="22"/>
          <w:lang w:val="nl-NL"/>
        </w:rPr>
        <w:t>ens/noodzaak te reageren op recente rechtspraak (van na de SO) en uiteen te zetten wat daar volgens de Nederlandse regering de gevolgen van zijn voor de zaak;</w:t>
      </w:r>
    </w:p>
    <w:p w:rsidR="000147B2" w:rsidRDefault="000147B2" w:rsidP="00483F56">
      <w:pPr>
        <w:pStyle w:val="ListParagraph"/>
        <w:numPr>
          <w:ilvl w:val="2"/>
          <w:numId w:val="22"/>
        </w:numPr>
        <w:jc w:val="both"/>
        <w:rPr>
          <w:sz w:val="22"/>
          <w:lang w:val="nl-NL"/>
        </w:rPr>
      </w:pPr>
      <w:r w:rsidRPr="000147B2">
        <w:rPr>
          <w:sz w:val="22"/>
          <w:lang w:val="nl-NL"/>
        </w:rPr>
        <w:t>Politieke redenen</w:t>
      </w:r>
    </w:p>
    <w:p w:rsidR="00D34BE9" w:rsidRDefault="00D34BE9" w:rsidP="00483F56">
      <w:pPr>
        <w:pStyle w:val="ListParagraph"/>
        <w:numPr>
          <w:ilvl w:val="2"/>
          <w:numId w:val="22"/>
        </w:numPr>
        <w:jc w:val="both"/>
        <w:rPr>
          <w:sz w:val="22"/>
          <w:lang w:val="nl-NL"/>
        </w:rPr>
      </w:pPr>
      <w:r>
        <w:rPr>
          <w:sz w:val="22"/>
          <w:lang w:val="nl-NL"/>
        </w:rPr>
        <w:t>Vragen van het Hof</w:t>
      </w:r>
    </w:p>
    <w:p w:rsidR="005F2F56" w:rsidRDefault="005F2F56" w:rsidP="00483F56">
      <w:pPr>
        <w:pStyle w:val="ListParagraph"/>
        <w:ind w:left="1440"/>
        <w:jc w:val="both"/>
        <w:rPr>
          <w:sz w:val="22"/>
          <w:lang w:val="nl-NL"/>
        </w:rPr>
      </w:pPr>
    </w:p>
    <w:p w:rsidR="005F2F56" w:rsidRDefault="00302C51" w:rsidP="00483F56">
      <w:pPr>
        <w:pStyle w:val="ListParagraph"/>
        <w:ind w:left="1800"/>
        <w:jc w:val="both"/>
        <w:rPr>
          <w:sz w:val="22"/>
          <w:lang w:val="nl-NL"/>
        </w:rPr>
      </w:pPr>
      <w:r>
        <w:rPr>
          <w:sz w:val="22"/>
          <w:lang w:val="nl-NL"/>
        </w:rPr>
        <w:lastRenderedPageBreak/>
        <w:t>Als de Nederlandse regering geen SO heeft ingediend maar die van andere lidstaten</w:t>
      </w:r>
      <w:r w:rsidR="00D8780D">
        <w:rPr>
          <w:sz w:val="22"/>
          <w:lang w:val="nl-NL"/>
        </w:rPr>
        <w:t>,</w:t>
      </w:r>
      <w:r>
        <w:rPr>
          <w:sz w:val="22"/>
          <w:lang w:val="nl-NL"/>
        </w:rPr>
        <w:t xml:space="preserve"> de Europese Commissie of partijen in het geschil aanleiding zijn om </w:t>
      </w:r>
      <w:r w:rsidR="00D8780D">
        <w:rPr>
          <w:sz w:val="22"/>
          <w:lang w:val="nl-NL"/>
        </w:rPr>
        <w:t>hun</w:t>
      </w:r>
      <w:r>
        <w:rPr>
          <w:sz w:val="22"/>
          <w:lang w:val="nl-NL"/>
        </w:rPr>
        <w:t xml:space="preserve"> standpunt te weerspreken dan wel te benadrukken, kan </w:t>
      </w:r>
      <w:r w:rsidR="00B01805" w:rsidRPr="005F2F56">
        <w:rPr>
          <w:sz w:val="22"/>
          <w:u w:val="single"/>
          <w:lang w:val="nl-NL"/>
        </w:rPr>
        <w:t>bij wijze van uitzondering</w:t>
      </w:r>
      <w:r w:rsidR="00B01805">
        <w:rPr>
          <w:sz w:val="22"/>
          <w:lang w:val="nl-NL"/>
        </w:rPr>
        <w:t xml:space="preserve"> </w:t>
      </w:r>
      <w:r>
        <w:rPr>
          <w:sz w:val="22"/>
          <w:lang w:val="nl-NL"/>
        </w:rPr>
        <w:t>worden besloten om het Nederlandse standpunt alsnog naar voren te brengen in de mondelinge fase.</w:t>
      </w:r>
      <w:r w:rsidR="000B07F2">
        <w:rPr>
          <w:sz w:val="22"/>
          <w:lang w:val="nl-NL"/>
        </w:rPr>
        <w:t xml:space="preserve"> </w:t>
      </w:r>
      <w:r w:rsidR="00B01805">
        <w:rPr>
          <w:sz w:val="22"/>
          <w:lang w:val="nl-NL"/>
        </w:rPr>
        <w:t xml:space="preserve">Dit is uitzonderlijk omdat de mondelinge behandeling zich niet goed leent voor het </w:t>
      </w:r>
      <w:r w:rsidR="00625DA6">
        <w:rPr>
          <w:sz w:val="22"/>
          <w:lang w:val="nl-NL"/>
        </w:rPr>
        <w:t xml:space="preserve">alsnog </w:t>
      </w:r>
      <w:r w:rsidR="00B01805">
        <w:rPr>
          <w:sz w:val="22"/>
          <w:lang w:val="nl-NL"/>
        </w:rPr>
        <w:t xml:space="preserve">uiteenzetten van complexe regelgeving of beleid. Voor het besluit of het opportuun is om </w:t>
      </w:r>
      <w:r w:rsidR="005F2F56">
        <w:rPr>
          <w:sz w:val="22"/>
          <w:lang w:val="nl-NL"/>
        </w:rPr>
        <w:t xml:space="preserve">in dat geval toch </w:t>
      </w:r>
      <w:r w:rsidR="00B01805">
        <w:rPr>
          <w:sz w:val="22"/>
          <w:lang w:val="nl-NL"/>
        </w:rPr>
        <w:t>deel te nemen aan de zitting gelden verder dezelfde criteria en afwegingen uit deel I van deze handleiding.</w:t>
      </w:r>
      <w:r w:rsidR="00CF7FAB">
        <w:rPr>
          <w:sz w:val="22"/>
          <w:lang w:val="nl-NL"/>
        </w:rPr>
        <w:t xml:space="preserve"> </w:t>
      </w:r>
    </w:p>
    <w:p w:rsidR="005F2F56" w:rsidRDefault="005F2F56" w:rsidP="00483F56">
      <w:pPr>
        <w:pStyle w:val="ListParagraph"/>
        <w:ind w:left="2160"/>
        <w:jc w:val="both"/>
        <w:rPr>
          <w:sz w:val="22"/>
          <w:lang w:val="nl-NL"/>
        </w:rPr>
      </w:pPr>
    </w:p>
    <w:p w:rsidR="00D8780D" w:rsidRDefault="00B01805" w:rsidP="00483F56">
      <w:pPr>
        <w:pStyle w:val="ListParagraph"/>
        <w:ind w:left="1800"/>
        <w:jc w:val="both"/>
        <w:rPr>
          <w:sz w:val="22"/>
          <w:lang w:val="nl-NL"/>
        </w:rPr>
      </w:pPr>
      <w:r>
        <w:rPr>
          <w:sz w:val="22"/>
          <w:lang w:val="nl-NL"/>
        </w:rPr>
        <w:t xml:space="preserve">Soms worden lidstaten </w:t>
      </w:r>
      <w:r w:rsidR="00A952DD">
        <w:rPr>
          <w:sz w:val="22"/>
          <w:lang w:val="nl-NL"/>
        </w:rPr>
        <w:t xml:space="preserve">door </w:t>
      </w:r>
      <w:r w:rsidR="00D8780D">
        <w:rPr>
          <w:sz w:val="22"/>
          <w:lang w:val="nl-NL"/>
        </w:rPr>
        <w:t>het Hof uitgenodigd om hun standpunt in de mondelinge fase naar voren te brengen. In dat geval legt het Hof vaak een specifieke vraag</w:t>
      </w:r>
      <w:r w:rsidR="00B97990">
        <w:rPr>
          <w:sz w:val="22"/>
          <w:lang w:val="nl-NL"/>
        </w:rPr>
        <w:t xml:space="preserve"> (of vragen)</w:t>
      </w:r>
      <w:r w:rsidR="00D8780D">
        <w:rPr>
          <w:sz w:val="22"/>
          <w:lang w:val="nl-NL"/>
        </w:rPr>
        <w:t xml:space="preserve"> voor. </w:t>
      </w:r>
      <w:r w:rsidR="00074BDA">
        <w:rPr>
          <w:sz w:val="22"/>
          <w:lang w:val="nl-NL"/>
        </w:rPr>
        <w:t>Dit komt steeds vaker voor.</w:t>
      </w:r>
    </w:p>
    <w:p w:rsidR="00D8780D" w:rsidRDefault="00D8780D" w:rsidP="00483F56">
      <w:pPr>
        <w:pStyle w:val="ListParagraph"/>
        <w:ind w:left="1440"/>
        <w:jc w:val="both"/>
        <w:rPr>
          <w:sz w:val="22"/>
          <w:lang w:val="nl-NL"/>
        </w:rPr>
      </w:pPr>
    </w:p>
    <w:p w:rsidR="00302C51" w:rsidRDefault="00D8780D" w:rsidP="000B2DC7">
      <w:pPr>
        <w:pStyle w:val="ListParagraph"/>
        <w:pBdr>
          <w:top w:val="single" w:sz="4" w:space="1" w:color="auto"/>
          <w:left w:val="single" w:sz="4" w:space="4" w:color="auto"/>
          <w:bottom w:val="single" w:sz="4" w:space="1" w:color="auto"/>
          <w:right w:val="single" w:sz="4" w:space="4" w:color="auto"/>
        </w:pBdr>
        <w:ind w:left="1800"/>
        <w:jc w:val="both"/>
        <w:rPr>
          <w:sz w:val="22"/>
          <w:lang w:val="nl-NL"/>
        </w:rPr>
      </w:pPr>
      <w:r w:rsidRPr="00D8780D">
        <w:rPr>
          <w:sz w:val="22"/>
          <w:lang w:val="nl-NL"/>
        </w:rPr>
        <w:t>Dit was bijvoorbeeld het geval in zaak C-526/08 Commissie tegen Luxemburg. Tijdens de</w:t>
      </w:r>
      <w:r w:rsidR="00CF7FAB">
        <w:rPr>
          <w:sz w:val="22"/>
          <w:lang w:val="nl-NL"/>
        </w:rPr>
        <w:t>ze inbreuk</w:t>
      </w:r>
      <w:r w:rsidRPr="00D8780D">
        <w:rPr>
          <w:sz w:val="22"/>
          <w:lang w:val="nl-NL"/>
        </w:rPr>
        <w:t xml:space="preserve">procedure beriep Luxemburg zich op het </w:t>
      </w:r>
      <w:r w:rsidRPr="00D8780D">
        <w:rPr>
          <w:i/>
          <w:sz w:val="22"/>
          <w:lang w:val="nl-NL"/>
        </w:rPr>
        <w:t>ne</w:t>
      </w:r>
      <w:r w:rsidR="00B97990">
        <w:rPr>
          <w:i/>
          <w:sz w:val="22"/>
          <w:lang w:val="nl-NL"/>
        </w:rPr>
        <w:t>-</w:t>
      </w:r>
      <w:r w:rsidRPr="00D8780D">
        <w:rPr>
          <w:i/>
          <w:sz w:val="22"/>
          <w:lang w:val="nl-NL"/>
        </w:rPr>
        <w:t>bis</w:t>
      </w:r>
      <w:r w:rsidR="00B97990">
        <w:rPr>
          <w:i/>
          <w:sz w:val="22"/>
          <w:lang w:val="nl-NL"/>
        </w:rPr>
        <w:t>-</w:t>
      </w:r>
      <w:r w:rsidRPr="00D8780D">
        <w:rPr>
          <w:i/>
          <w:sz w:val="22"/>
          <w:lang w:val="nl-NL"/>
        </w:rPr>
        <w:t>in</w:t>
      </w:r>
      <w:r w:rsidR="00B97990">
        <w:rPr>
          <w:i/>
          <w:sz w:val="22"/>
          <w:lang w:val="nl-NL"/>
        </w:rPr>
        <w:t>-</w:t>
      </w:r>
      <w:r w:rsidRPr="00D8780D">
        <w:rPr>
          <w:i/>
          <w:sz w:val="22"/>
          <w:lang w:val="nl-NL"/>
        </w:rPr>
        <w:t xml:space="preserve">idem </w:t>
      </w:r>
      <w:r w:rsidRPr="00D8780D">
        <w:rPr>
          <w:sz w:val="22"/>
          <w:lang w:val="nl-NL"/>
        </w:rPr>
        <w:t>beginsel. Het Hof heeft vanwege de principiële aard van dit verweer de lidstaten uitgenodigd om hun visie over de betekenis van dit beginsel uit het strafrecht in inbreukprocedures</w:t>
      </w:r>
      <w:r w:rsidR="00CF7FAB">
        <w:rPr>
          <w:sz w:val="22"/>
          <w:lang w:val="nl-NL"/>
        </w:rPr>
        <w:t xml:space="preserve"> tijdens de hoorzitting uiteen te zetten</w:t>
      </w:r>
      <w:r>
        <w:rPr>
          <w:sz w:val="22"/>
          <w:lang w:val="nl-NL"/>
        </w:rPr>
        <w:t>.</w:t>
      </w:r>
      <w:r w:rsidR="00CF7FAB">
        <w:rPr>
          <w:sz w:val="22"/>
          <w:lang w:val="nl-NL"/>
        </w:rPr>
        <w:t xml:space="preserve"> Alle lidstaten hebben aan dit verzoek gehoor gegeven.</w:t>
      </w:r>
      <w:r w:rsidR="005F2F56">
        <w:rPr>
          <w:sz w:val="22"/>
          <w:lang w:val="nl-NL"/>
        </w:rPr>
        <w:t xml:space="preserve"> Ook in </w:t>
      </w:r>
      <w:r w:rsidR="005F2F56" w:rsidRPr="005F2F56">
        <w:rPr>
          <w:sz w:val="22"/>
          <w:lang w:val="nl-NL"/>
        </w:rPr>
        <w:t xml:space="preserve">C-414/12 </w:t>
      </w:r>
      <w:proofErr w:type="spellStart"/>
      <w:r w:rsidR="005F2F56" w:rsidRPr="005F2F56">
        <w:rPr>
          <w:sz w:val="22"/>
          <w:lang w:val="nl-NL"/>
        </w:rPr>
        <w:t>Daiichi</w:t>
      </w:r>
      <w:proofErr w:type="spellEnd"/>
      <w:r w:rsidR="005F2F56">
        <w:rPr>
          <w:sz w:val="22"/>
          <w:lang w:val="nl-NL"/>
        </w:rPr>
        <w:t xml:space="preserve"> zijn de lidstaten door het Hof uitgenodigd op een specifieke vraag in te gaan en deel te nemen aan de MB (zie hierboven onder g)</w:t>
      </w:r>
      <w:r w:rsidR="00B97990">
        <w:rPr>
          <w:sz w:val="22"/>
          <w:lang w:val="nl-NL"/>
        </w:rPr>
        <w:t>.</w:t>
      </w:r>
    </w:p>
    <w:p w:rsidR="00CF7FAB" w:rsidRDefault="00CF7FAB" w:rsidP="00483F56">
      <w:pPr>
        <w:pStyle w:val="ListParagraph"/>
        <w:ind w:left="1440"/>
        <w:jc w:val="both"/>
        <w:rPr>
          <w:sz w:val="22"/>
          <w:lang w:val="nl-NL"/>
        </w:rPr>
      </w:pPr>
    </w:p>
    <w:p w:rsidR="00CF7FAB" w:rsidRDefault="00CF7FAB" w:rsidP="00D519F6">
      <w:pPr>
        <w:pStyle w:val="ListParagraph"/>
        <w:ind w:left="1800"/>
        <w:jc w:val="both"/>
        <w:rPr>
          <w:sz w:val="22"/>
          <w:lang w:val="nl-NL"/>
        </w:rPr>
      </w:pPr>
      <w:r>
        <w:rPr>
          <w:sz w:val="22"/>
          <w:lang w:val="nl-NL"/>
        </w:rPr>
        <w:t xml:space="preserve">Dergelijke </w:t>
      </w:r>
      <w:r w:rsidR="00A13D37">
        <w:rPr>
          <w:sz w:val="22"/>
          <w:lang w:val="nl-NL"/>
        </w:rPr>
        <w:t>verzoeken</w:t>
      </w:r>
      <w:r>
        <w:rPr>
          <w:sz w:val="22"/>
          <w:lang w:val="nl-NL"/>
        </w:rPr>
        <w:t xml:space="preserve"> kunnen ook worden gedaan in het kader van een prejudiciële spoedprocedure ( ‘PPU’)</w:t>
      </w:r>
      <w:r w:rsidR="006B12AF">
        <w:rPr>
          <w:sz w:val="22"/>
          <w:lang w:val="nl-NL"/>
        </w:rPr>
        <w:t xml:space="preserve"> en de versnelde procedure (</w:t>
      </w:r>
      <w:r w:rsidR="00E02BF9">
        <w:rPr>
          <w:sz w:val="22"/>
          <w:lang w:val="nl-NL"/>
        </w:rPr>
        <w:t>‘</w:t>
      </w:r>
      <w:r w:rsidR="006B12AF">
        <w:rPr>
          <w:sz w:val="22"/>
          <w:lang w:val="nl-NL"/>
        </w:rPr>
        <w:t>PPA</w:t>
      </w:r>
      <w:r w:rsidR="00E02BF9">
        <w:rPr>
          <w:sz w:val="22"/>
          <w:lang w:val="nl-NL"/>
        </w:rPr>
        <w:t>’</w:t>
      </w:r>
      <w:r w:rsidR="006B12AF">
        <w:rPr>
          <w:sz w:val="22"/>
          <w:lang w:val="nl-NL"/>
        </w:rPr>
        <w:t>)</w:t>
      </w:r>
      <w:r w:rsidR="00625DA6">
        <w:rPr>
          <w:sz w:val="22"/>
          <w:lang w:val="nl-NL"/>
        </w:rPr>
        <w:t>. In een PPU kunnen lidstaten vaak alleen in de mondelinge fase pas meedoen.</w:t>
      </w:r>
      <w:r w:rsidR="005F2F56">
        <w:rPr>
          <w:sz w:val="22"/>
          <w:lang w:val="nl-NL"/>
        </w:rPr>
        <w:t xml:space="preserve"> </w:t>
      </w:r>
    </w:p>
    <w:p w:rsidR="00CF7FAB" w:rsidRDefault="00CF7FAB" w:rsidP="00483F56">
      <w:pPr>
        <w:pStyle w:val="ListParagraph"/>
        <w:ind w:left="1440"/>
        <w:jc w:val="both"/>
        <w:rPr>
          <w:sz w:val="22"/>
          <w:lang w:val="nl-NL"/>
        </w:rPr>
      </w:pPr>
    </w:p>
    <w:p w:rsidR="00302C51" w:rsidRDefault="00302C51" w:rsidP="00483F56">
      <w:pPr>
        <w:pStyle w:val="ListParagraph"/>
        <w:ind w:left="1440"/>
        <w:jc w:val="both"/>
        <w:rPr>
          <w:sz w:val="22"/>
          <w:lang w:val="nl-NL"/>
        </w:rPr>
      </w:pPr>
    </w:p>
    <w:p w:rsidR="00B61DAD" w:rsidRPr="00EE10E9" w:rsidRDefault="00625DA6" w:rsidP="00483F56">
      <w:pPr>
        <w:pStyle w:val="ListParagraph"/>
        <w:jc w:val="both"/>
        <w:rPr>
          <w:b/>
          <w:sz w:val="22"/>
          <w:lang w:val="nl-NL"/>
        </w:rPr>
      </w:pPr>
      <w:r>
        <w:rPr>
          <w:b/>
          <w:sz w:val="22"/>
          <w:lang w:val="nl-NL"/>
        </w:rPr>
        <w:t xml:space="preserve">II. </w:t>
      </w:r>
      <w:r w:rsidR="00C8724D" w:rsidRPr="00EE10E9">
        <w:rPr>
          <w:b/>
          <w:sz w:val="22"/>
          <w:lang w:val="nl-NL"/>
        </w:rPr>
        <w:t>O</w:t>
      </w:r>
      <w:r w:rsidR="00B01805" w:rsidRPr="00EE10E9">
        <w:rPr>
          <w:b/>
          <w:sz w:val="22"/>
          <w:lang w:val="nl-NL"/>
        </w:rPr>
        <w:t>verige procedures</w:t>
      </w:r>
    </w:p>
    <w:p w:rsidR="00B61DAD" w:rsidRDefault="00B61DAD" w:rsidP="00483F56">
      <w:pPr>
        <w:pStyle w:val="ListParagraph"/>
        <w:jc w:val="both"/>
        <w:rPr>
          <w:sz w:val="22"/>
          <w:lang w:val="nl-NL"/>
        </w:rPr>
      </w:pPr>
    </w:p>
    <w:p w:rsidR="000C6E85" w:rsidRDefault="000C6E85" w:rsidP="00483F56">
      <w:pPr>
        <w:pStyle w:val="ListParagraph"/>
        <w:ind w:left="1440"/>
        <w:jc w:val="both"/>
        <w:rPr>
          <w:i/>
          <w:sz w:val="22"/>
          <w:lang w:val="nl-NL"/>
        </w:rPr>
      </w:pPr>
      <w:r>
        <w:rPr>
          <w:i/>
          <w:sz w:val="22"/>
          <w:lang w:val="nl-NL"/>
        </w:rPr>
        <w:t>Directe zaken</w:t>
      </w:r>
    </w:p>
    <w:p w:rsidR="00B97990" w:rsidRDefault="00B97990" w:rsidP="00483F56">
      <w:pPr>
        <w:pStyle w:val="ListParagraph"/>
        <w:ind w:left="1440"/>
        <w:jc w:val="both"/>
        <w:rPr>
          <w:i/>
          <w:sz w:val="22"/>
          <w:lang w:val="nl-NL"/>
        </w:rPr>
      </w:pPr>
    </w:p>
    <w:p w:rsidR="00A952DD" w:rsidRDefault="005F2F56" w:rsidP="00483F56">
      <w:pPr>
        <w:pStyle w:val="ListParagraph"/>
        <w:ind w:left="1440"/>
        <w:jc w:val="both"/>
        <w:rPr>
          <w:sz w:val="22"/>
          <w:lang w:val="nl-NL"/>
        </w:rPr>
      </w:pPr>
      <w:r w:rsidRPr="00EE10E9">
        <w:rPr>
          <w:sz w:val="22"/>
          <w:lang w:val="nl-NL"/>
        </w:rPr>
        <w:t xml:space="preserve">Met directe zaken worden </w:t>
      </w:r>
      <w:r w:rsidR="00E43C08">
        <w:rPr>
          <w:sz w:val="22"/>
          <w:lang w:val="nl-NL"/>
        </w:rPr>
        <w:t xml:space="preserve">zowel </w:t>
      </w:r>
      <w:r w:rsidRPr="00EE10E9">
        <w:rPr>
          <w:sz w:val="22"/>
          <w:lang w:val="nl-NL"/>
        </w:rPr>
        <w:t>beroepen tegen besluiten van de instellingen</w:t>
      </w:r>
      <w:r w:rsidR="00EE10E9">
        <w:rPr>
          <w:sz w:val="22"/>
          <w:lang w:val="nl-NL"/>
        </w:rPr>
        <w:t xml:space="preserve"> </w:t>
      </w:r>
      <w:r w:rsidR="00C10783">
        <w:rPr>
          <w:sz w:val="22"/>
          <w:lang w:val="nl-NL"/>
        </w:rPr>
        <w:t>(</w:t>
      </w:r>
      <w:r w:rsidR="00EE10E9">
        <w:rPr>
          <w:sz w:val="22"/>
          <w:lang w:val="nl-NL"/>
        </w:rPr>
        <w:t>bij het Gerecht</w:t>
      </w:r>
      <w:r w:rsidR="00C10783">
        <w:rPr>
          <w:sz w:val="22"/>
          <w:lang w:val="nl-NL"/>
        </w:rPr>
        <w:t>)</w:t>
      </w:r>
      <w:r w:rsidRPr="00EE10E9">
        <w:rPr>
          <w:sz w:val="22"/>
          <w:lang w:val="nl-NL"/>
        </w:rPr>
        <w:t xml:space="preserve">, de hogere voorzieningen tegen </w:t>
      </w:r>
      <w:r w:rsidR="00EE10E9" w:rsidRPr="00EE10E9">
        <w:rPr>
          <w:sz w:val="22"/>
          <w:lang w:val="nl-NL"/>
        </w:rPr>
        <w:t xml:space="preserve">uitspraken van het Gerecht </w:t>
      </w:r>
      <w:r w:rsidR="00C10783">
        <w:rPr>
          <w:sz w:val="22"/>
          <w:lang w:val="nl-NL"/>
        </w:rPr>
        <w:t>(</w:t>
      </w:r>
      <w:r w:rsidR="00EE10E9">
        <w:rPr>
          <w:sz w:val="22"/>
          <w:lang w:val="nl-NL"/>
        </w:rPr>
        <w:t>bij het Hof</w:t>
      </w:r>
      <w:r w:rsidR="00C10783">
        <w:rPr>
          <w:sz w:val="22"/>
          <w:lang w:val="nl-NL"/>
        </w:rPr>
        <w:t>)</w:t>
      </w:r>
      <w:r w:rsidR="00EE10E9">
        <w:rPr>
          <w:sz w:val="22"/>
          <w:lang w:val="nl-NL"/>
        </w:rPr>
        <w:t xml:space="preserve">, </w:t>
      </w:r>
      <w:r w:rsidR="00EE10E9" w:rsidRPr="00EE10E9">
        <w:rPr>
          <w:sz w:val="22"/>
          <w:lang w:val="nl-NL"/>
        </w:rPr>
        <w:t>als</w:t>
      </w:r>
      <w:r w:rsidRPr="00EE10E9">
        <w:rPr>
          <w:sz w:val="22"/>
          <w:lang w:val="nl-NL"/>
        </w:rPr>
        <w:t xml:space="preserve"> infractieprocedures door de Commissie</w:t>
      </w:r>
      <w:r w:rsidR="00EE10E9" w:rsidRPr="00EE10E9">
        <w:rPr>
          <w:sz w:val="22"/>
          <w:lang w:val="nl-NL"/>
        </w:rPr>
        <w:t xml:space="preserve"> tegen de lidstaten bedoeld. </w:t>
      </w:r>
    </w:p>
    <w:p w:rsidR="00A952DD" w:rsidRDefault="00A952DD" w:rsidP="00483F56">
      <w:pPr>
        <w:pStyle w:val="ListParagraph"/>
        <w:ind w:left="1440"/>
        <w:jc w:val="both"/>
        <w:rPr>
          <w:sz w:val="22"/>
          <w:lang w:val="nl-NL"/>
        </w:rPr>
      </w:pPr>
    </w:p>
    <w:p w:rsidR="00FC67B2" w:rsidRDefault="00EE10E9" w:rsidP="00483F56">
      <w:pPr>
        <w:pStyle w:val="ListParagraph"/>
        <w:ind w:left="1440"/>
        <w:jc w:val="both"/>
        <w:rPr>
          <w:sz w:val="22"/>
          <w:lang w:val="nl-NL"/>
        </w:rPr>
      </w:pPr>
      <w:r>
        <w:rPr>
          <w:sz w:val="22"/>
          <w:lang w:val="nl-NL"/>
        </w:rPr>
        <w:t xml:space="preserve">In </w:t>
      </w:r>
      <w:r w:rsidR="00A952DD">
        <w:rPr>
          <w:sz w:val="22"/>
          <w:lang w:val="nl-NL"/>
        </w:rPr>
        <w:t>infractieprocedures</w:t>
      </w:r>
      <w:r>
        <w:rPr>
          <w:sz w:val="22"/>
          <w:lang w:val="nl-NL"/>
        </w:rPr>
        <w:t xml:space="preserve"> is Nederland per definitie betrokken</w:t>
      </w:r>
      <w:r w:rsidR="00C10783">
        <w:rPr>
          <w:sz w:val="22"/>
          <w:lang w:val="nl-NL"/>
        </w:rPr>
        <w:t xml:space="preserve"> en </w:t>
      </w:r>
      <w:r w:rsidR="00C10783" w:rsidRPr="00E43C08">
        <w:rPr>
          <w:sz w:val="22"/>
          <w:u w:val="single"/>
          <w:lang w:val="nl-NL"/>
        </w:rPr>
        <w:t>moet</w:t>
      </w:r>
      <w:r w:rsidR="00C10783">
        <w:rPr>
          <w:sz w:val="22"/>
          <w:lang w:val="nl-NL"/>
        </w:rPr>
        <w:t xml:space="preserve"> er een verweerschrift </w:t>
      </w:r>
      <w:r w:rsidR="00A952DD">
        <w:rPr>
          <w:sz w:val="22"/>
          <w:lang w:val="nl-NL"/>
        </w:rPr>
        <w:t>en –in voorkomend geval- een dupliek</w:t>
      </w:r>
      <w:r w:rsidR="00C10783">
        <w:rPr>
          <w:sz w:val="22"/>
          <w:lang w:val="nl-NL"/>
        </w:rPr>
        <w:t xml:space="preserve"> worden ingediend</w:t>
      </w:r>
      <w:r w:rsidR="00E43C08">
        <w:rPr>
          <w:sz w:val="22"/>
          <w:lang w:val="nl-NL"/>
        </w:rPr>
        <w:t xml:space="preserve"> (Nederland als verweerder)</w:t>
      </w:r>
      <w:r w:rsidR="00C10783">
        <w:rPr>
          <w:sz w:val="22"/>
          <w:lang w:val="nl-NL"/>
        </w:rPr>
        <w:t xml:space="preserve">. </w:t>
      </w:r>
    </w:p>
    <w:p w:rsidR="00FC67B2" w:rsidRDefault="00FC67B2" w:rsidP="00483F56">
      <w:pPr>
        <w:pStyle w:val="ListParagraph"/>
        <w:ind w:left="1440"/>
        <w:jc w:val="both"/>
        <w:rPr>
          <w:sz w:val="22"/>
          <w:lang w:val="nl-NL"/>
        </w:rPr>
      </w:pPr>
    </w:p>
    <w:p w:rsidR="00FC67B2" w:rsidRPr="00FC67B2" w:rsidRDefault="00EE10E9" w:rsidP="00483F56">
      <w:pPr>
        <w:pStyle w:val="ListParagraph"/>
        <w:ind w:left="1440"/>
        <w:jc w:val="both"/>
        <w:rPr>
          <w:sz w:val="22"/>
          <w:lang w:val="nl-NL"/>
        </w:rPr>
      </w:pPr>
      <w:r w:rsidRPr="00EE10E9">
        <w:rPr>
          <w:sz w:val="22"/>
          <w:lang w:val="nl-NL"/>
        </w:rPr>
        <w:t xml:space="preserve">Nederland </w:t>
      </w:r>
      <w:r w:rsidR="00C10783">
        <w:rPr>
          <w:sz w:val="22"/>
          <w:lang w:val="nl-NL"/>
        </w:rPr>
        <w:t xml:space="preserve">kan </w:t>
      </w:r>
      <w:r w:rsidR="00FC67B2">
        <w:rPr>
          <w:sz w:val="22"/>
          <w:lang w:val="nl-NL"/>
        </w:rPr>
        <w:t xml:space="preserve">daarnaast op eigen initiatief </w:t>
      </w:r>
      <w:r w:rsidR="00E43C08">
        <w:rPr>
          <w:sz w:val="22"/>
          <w:lang w:val="nl-NL"/>
        </w:rPr>
        <w:t>bij</w:t>
      </w:r>
      <w:r w:rsidR="00C10783">
        <w:rPr>
          <w:sz w:val="22"/>
          <w:lang w:val="nl-NL"/>
        </w:rPr>
        <w:t xml:space="preserve"> een directe zaak worden betrokken</w:t>
      </w:r>
      <w:r w:rsidR="00FC67B2">
        <w:rPr>
          <w:sz w:val="22"/>
          <w:lang w:val="nl-NL"/>
        </w:rPr>
        <w:t>.</w:t>
      </w:r>
      <w:r w:rsidR="00C10783">
        <w:rPr>
          <w:sz w:val="22"/>
          <w:lang w:val="nl-NL"/>
        </w:rPr>
        <w:t xml:space="preserve"> </w:t>
      </w:r>
      <w:r w:rsidR="00A952DD">
        <w:rPr>
          <w:sz w:val="22"/>
          <w:lang w:val="nl-NL"/>
        </w:rPr>
        <w:t xml:space="preserve">Zo kan </w:t>
      </w:r>
      <w:r w:rsidR="00FC67B2">
        <w:rPr>
          <w:sz w:val="22"/>
          <w:lang w:val="nl-NL"/>
        </w:rPr>
        <w:t xml:space="preserve">Nederland kan betrokken zijn bij een directe zaak </w:t>
      </w:r>
      <w:r w:rsidR="00C10783">
        <w:rPr>
          <w:sz w:val="22"/>
          <w:lang w:val="nl-NL"/>
        </w:rPr>
        <w:lastRenderedPageBreak/>
        <w:t>door</w:t>
      </w:r>
      <w:r w:rsidRPr="00EE10E9">
        <w:rPr>
          <w:sz w:val="22"/>
          <w:lang w:val="nl-NL"/>
        </w:rPr>
        <w:t xml:space="preserve"> zelf beroep in</w:t>
      </w:r>
      <w:r w:rsidR="00C10783">
        <w:rPr>
          <w:sz w:val="22"/>
          <w:lang w:val="nl-NL"/>
        </w:rPr>
        <w:t xml:space="preserve"> te </w:t>
      </w:r>
      <w:r w:rsidRPr="00EE10E9">
        <w:rPr>
          <w:sz w:val="22"/>
          <w:lang w:val="nl-NL"/>
        </w:rPr>
        <w:t>stellen (tegen bijvoorbeeld een staatssteunbeschikking</w:t>
      </w:r>
      <w:r w:rsidR="00E43C08">
        <w:rPr>
          <w:sz w:val="22"/>
          <w:lang w:val="nl-NL"/>
        </w:rPr>
        <w:t>, Nederland als eiser</w:t>
      </w:r>
      <w:r w:rsidRPr="00EE10E9">
        <w:rPr>
          <w:sz w:val="22"/>
          <w:lang w:val="nl-NL"/>
        </w:rPr>
        <w:t xml:space="preserve">). Daarnaast </w:t>
      </w:r>
      <w:r>
        <w:rPr>
          <w:sz w:val="22"/>
          <w:lang w:val="nl-NL"/>
        </w:rPr>
        <w:t>heeft de Nederlandse regering altijd het recht om te interveniëren in een beroep of hogere voorziening die is ingesteld door een andere partij</w:t>
      </w:r>
      <w:r w:rsidR="00E43C08">
        <w:rPr>
          <w:sz w:val="22"/>
          <w:lang w:val="nl-NL"/>
        </w:rPr>
        <w:t xml:space="preserve"> (Nederland als </w:t>
      </w:r>
      <w:proofErr w:type="spellStart"/>
      <w:r w:rsidR="00E43C08">
        <w:rPr>
          <w:sz w:val="22"/>
          <w:lang w:val="nl-NL"/>
        </w:rPr>
        <w:t>interveniënt</w:t>
      </w:r>
      <w:proofErr w:type="spellEnd"/>
      <w:r w:rsidR="00E43C08">
        <w:rPr>
          <w:sz w:val="22"/>
          <w:lang w:val="nl-NL"/>
        </w:rPr>
        <w:t>)</w:t>
      </w:r>
      <w:r>
        <w:rPr>
          <w:sz w:val="22"/>
          <w:lang w:val="nl-NL"/>
        </w:rPr>
        <w:t>. In dit laatste geval</w:t>
      </w:r>
      <w:r w:rsidR="00EC6C6A" w:rsidRPr="00C85C64">
        <w:rPr>
          <w:sz w:val="22"/>
          <w:lang w:val="nl-NL"/>
        </w:rPr>
        <w:t xml:space="preserve"> voegt de Nederlandse regering zich aan de zijde van één van de partijen.</w:t>
      </w:r>
      <w:r w:rsidR="00C97C20" w:rsidRPr="00C85C64">
        <w:rPr>
          <w:sz w:val="22"/>
          <w:lang w:val="nl-NL"/>
        </w:rPr>
        <w:t xml:space="preserve"> </w:t>
      </w:r>
      <w:r w:rsidR="00C10783">
        <w:rPr>
          <w:sz w:val="22"/>
          <w:lang w:val="nl-NL"/>
        </w:rPr>
        <w:t xml:space="preserve">De meest voorkomende zaken waar Nederland in meedoet </w:t>
      </w:r>
      <w:r w:rsidR="00E43C08">
        <w:rPr>
          <w:sz w:val="22"/>
          <w:lang w:val="nl-NL"/>
        </w:rPr>
        <w:t xml:space="preserve">als </w:t>
      </w:r>
      <w:proofErr w:type="spellStart"/>
      <w:r w:rsidR="00E43C08">
        <w:rPr>
          <w:sz w:val="22"/>
          <w:lang w:val="nl-NL"/>
        </w:rPr>
        <w:t>interveniënt</w:t>
      </w:r>
      <w:proofErr w:type="spellEnd"/>
      <w:r w:rsidR="00E43C08">
        <w:rPr>
          <w:sz w:val="22"/>
          <w:lang w:val="nl-NL"/>
        </w:rPr>
        <w:t xml:space="preserve"> </w:t>
      </w:r>
      <w:r w:rsidR="00C10783">
        <w:rPr>
          <w:sz w:val="22"/>
          <w:lang w:val="nl-NL"/>
        </w:rPr>
        <w:t xml:space="preserve">zijn zaken van andere lidstaten tegen de Commissie of zaken tussen de instellingen. </w:t>
      </w:r>
      <w:r w:rsidR="00FC67B2" w:rsidRPr="00FC67B2">
        <w:rPr>
          <w:sz w:val="22"/>
          <w:lang w:val="nl-NL"/>
        </w:rPr>
        <w:t>Voor het besluit of Nederland beroep moet instellen/interveniëren gelden in beginsel dezelfde criteria als hierboven genoemd voor de prejudiciële zaken.</w:t>
      </w:r>
    </w:p>
    <w:p w:rsidR="00C97C20" w:rsidRDefault="00FC67B2" w:rsidP="00483F56">
      <w:pPr>
        <w:pStyle w:val="ListParagraph"/>
        <w:ind w:left="1440"/>
        <w:jc w:val="both"/>
        <w:rPr>
          <w:sz w:val="22"/>
          <w:lang w:val="nl-NL"/>
        </w:rPr>
      </w:pPr>
      <w:r>
        <w:rPr>
          <w:sz w:val="22"/>
          <w:lang w:val="nl-NL"/>
        </w:rPr>
        <w:t>Beroepen moeten binnen twee maanden na kennisname van het besluit worden ingesteld. V</w:t>
      </w:r>
      <w:r w:rsidR="000029DD">
        <w:rPr>
          <w:sz w:val="22"/>
          <w:lang w:val="nl-NL"/>
        </w:rPr>
        <w:t xml:space="preserve">oor interventies </w:t>
      </w:r>
      <w:r w:rsidR="00243798">
        <w:rPr>
          <w:sz w:val="22"/>
          <w:lang w:val="nl-NL"/>
        </w:rPr>
        <w:t xml:space="preserve">moet </w:t>
      </w:r>
      <w:r w:rsidR="00EE10E9">
        <w:rPr>
          <w:sz w:val="22"/>
          <w:lang w:val="nl-NL"/>
        </w:rPr>
        <w:t xml:space="preserve">een </w:t>
      </w:r>
      <w:r w:rsidR="00C97C20" w:rsidRPr="00C85C64">
        <w:rPr>
          <w:sz w:val="22"/>
          <w:lang w:val="nl-NL"/>
        </w:rPr>
        <w:t xml:space="preserve">verzoek </w:t>
      </w:r>
      <w:r w:rsidR="00625DA6">
        <w:rPr>
          <w:sz w:val="22"/>
          <w:lang w:val="nl-NL"/>
        </w:rPr>
        <w:t xml:space="preserve">tot toelating </w:t>
      </w:r>
      <w:r w:rsidR="00154CE7" w:rsidRPr="00C85C64">
        <w:rPr>
          <w:sz w:val="22"/>
          <w:lang w:val="nl-NL"/>
        </w:rPr>
        <w:t>aan het Hof/Gerecht</w:t>
      </w:r>
      <w:r w:rsidR="00EE10E9">
        <w:rPr>
          <w:sz w:val="22"/>
          <w:lang w:val="nl-NL"/>
        </w:rPr>
        <w:t xml:space="preserve"> worden gedaan</w:t>
      </w:r>
      <w:r w:rsidR="00C97C20" w:rsidRPr="00C85C64">
        <w:rPr>
          <w:sz w:val="22"/>
          <w:lang w:val="nl-NL"/>
        </w:rPr>
        <w:t xml:space="preserve">. </w:t>
      </w:r>
      <w:r w:rsidR="00E43C08">
        <w:rPr>
          <w:sz w:val="22"/>
          <w:lang w:val="nl-NL"/>
        </w:rPr>
        <w:t>Het verzoek moet binnen zes weken na publicatie van het beroep in het Publicatieblad aan het Hof worden</w:t>
      </w:r>
      <w:r>
        <w:rPr>
          <w:sz w:val="22"/>
          <w:lang w:val="nl-NL"/>
        </w:rPr>
        <w:t xml:space="preserve"> verzonden</w:t>
      </w:r>
      <w:r w:rsidR="00E43C08">
        <w:rPr>
          <w:sz w:val="22"/>
          <w:lang w:val="nl-NL"/>
        </w:rPr>
        <w:t>.</w:t>
      </w:r>
      <w:r w:rsidR="00E43C08" w:rsidRPr="00E43C08">
        <w:rPr>
          <w:sz w:val="22"/>
          <w:lang w:val="nl-NL"/>
        </w:rPr>
        <w:t xml:space="preserve"> </w:t>
      </w:r>
      <w:r>
        <w:rPr>
          <w:sz w:val="22"/>
          <w:lang w:val="nl-NL"/>
        </w:rPr>
        <w:t xml:space="preserve">Het </w:t>
      </w:r>
      <w:r w:rsidR="00E43C08" w:rsidRPr="00E43C08">
        <w:rPr>
          <w:sz w:val="22"/>
          <w:lang w:val="nl-NL"/>
        </w:rPr>
        <w:t xml:space="preserve">voornemen </w:t>
      </w:r>
      <w:r>
        <w:rPr>
          <w:sz w:val="22"/>
          <w:lang w:val="nl-NL"/>
        </w:rPr>
        <w:t xml:space="preserve">tot het instellen van beroep of interventie </w:t>
      </w:r>
      <w:r w:rsidR="00E43C08" w:rsidRPr="00E43C08">
        <w:rPr>
          <w:sz w:val="22"/>
          <w:lang w:val="nl-NL"/>
        </w:rPr>
        <w:t>wordt afgestemd binnen de ICER-H (z</w:t>
      </w:r>
      <w:r w:rsidR="00E43C08">
        <w:rPr>
          <w:sz w:val="22"/>
          <w:lang w:val="nl-NL"/>
        </w:rPr>
        <w:t>i</w:t>
      </w:r>
      <w:r w:rsidR="00E43C08" w:rsidRPr="00E43C08">
        <w:rPr>
          <w:sz w:val="22"/>
          <w:lang w:val="nl-NL"/>
        </w:rPr>
        <w:t xml:space="preserve">e </w:t>
      </w:r>
      <w:r w:rsidR="00E43C08">
        <w:rPr>
          <w:sz w:val="22"/>
          <w:lang w:val="nl-NL"/>
        </w:rPr>
        <w:t>ook I</w:t>
      </w:r>
      <w:r w:rsidR="00E43C08" w:rsidRPr="00E43C08">
        <w:rPr>
          <w:sz w:val="22"/>
          <w:lang w:val="nl-NL"/>
        </w:rPr>
        <w:t>nleiding).</w:t>
      </w:r>
      <w:r w:rsidR="00E43C08">
        <w:rPr>
          <w:sz w:val="22"/>
          <w:lang w:val="nl-NL"/>
        </w:rPr>
        <w:t xml:space="preserve"> </w:t>
      </w:r>
    </w:p>
    <w:p w:rsidR="000029DD" w:rsidRDefault="000029DD" w:rsidP="00483F56">
      <w:pPr>
        <w:pStyle w:val="ListParagraph"/>
        <w:ind w:left="1440"/>
        <w:jc w:val="both"/>
        <w:rPr>
          <w:sz w:val="22"/>
          <w:lang w:val="nl-NL"/>
        </w:rPr>
      </w:pPr>
    </w:p>
    <w:p w:rsidR="00C10783" w:rsidRPr="00C10783" w:rsidRDefault="00C10783" w:rsidP="00483F56">
      <w:pPr>
        <w:pStyle w:val="ListParagraph"/>
        <w:ind w:left="1440"/>
        <w:jc w:val="both"/>
        <w:rPr>
          <w:sz w:val="22"/>
          <w:lang w:val="nl-NL"/>
        </w:rPr>
      </w:pPr>
      <w:r>
        <w:rPr>
          <w:sz w:val="22"/>
          <w:lang w:val="nl-NL"/>
        </w:rPr>
        <w:t>Hoe de stukken in de directe zaken tot stand komen</w:t>
      </w:r>
      <w:r w:rsidR="00FC67B2">
        <w:rPr>
          <w:sz w:val="22"/>
          <w:lang w:val="nl-NL"/>
        </w:rPr>
        <w:t>,</w:t>
      </w:r>
      <w:r>
        <w:rPr>
          <w:sz w:val="22"/>
          <w:lang w:val="nl-NL"/>
        </w:rPr>
        <w:t xml:space="preserve"> staat beschreven in </w:t>
      </w:r>
      <w:r w:rsidRPr="00C10783">
        <w:rPr>
          <w:sz w:val="22"/>
          <w:lang w:val="nl-NL"/>
        </w:rPr>
        <w:t>’Aanwijzingen voor schriftelijke stukken in rechtstreekse zaken EU-</w:t>
      </w:r>
      <w:proofErr w:type="gramStart"/>
      <w:r w:rsidRPr="00C10783">
        <w:rPr>
          <w:sz w:val="22"/>
          <w:lang w:val="nl-NL"/>
        </w:rPr>
        <w:t>Hof’</w:t>
      </w:r>
      <w:r w:rsidR="000029DD">
        <w:rPr>
          <w:sz w:val="22"/>
          <w:lang w:val="nl-NL"/>
        </w:rPr>
        <w:t xml:space="preserve"> </w:t>
      </w:r>
      <w:r w:rsidR="00243798">
        <w:rPr>
          <w:sz w:val="22"/>
          <w:lang w:val="nl-NL"/>
        </w:rPr>
        <w:t>,</w:t>
      </w:r>
      <w:proofErr w:type="gramEnd"/>
      <w:r w:rsidR="00243798">
        <w:rPr>
          <w:sz w:val="22"/>
          <w:lang w:val="nl-NL"/>
        </w:rPr>
        <w:t xml:space="preserve"> </w:t>
      </w:r>
      <w:r w:rsidR="000029DD">
        <w:rPr>
          <w:sz w:val="22"/>
          <w:lang w:val="nl-NL"/>
        </w:rPr>
        <w:t xml:space="preserve">te vinden op </w:t>
      </w:r>
      <w:r w:rsidR="000029DD" w:rsidRPr="000029DD">
        <w:rPr>
          <w:sz w:val="22"/>
          <w:lang w:val="nl-NL"/>
        </w:rPr>
        <w:t>(</w:t>
      </w:r>
      <w:hyperlink r:id="rId10" w:history="1">
        <w:r w:rsidR="000029DD" w:rsidRPr="000029DD">
          <w:rPr>
            <w:rStyle w:val="Hyperlink"/>
            <w:sz w:val="22"/>
            <w:lang w:val="nl-NL"/>
          </w:rPr>
          <w:t>http://www.minbuza.nl/ecer</w:t>
        </w:r>
      </w:hyperlink>
      <w:r w:rsidR="000029DD" w:rsidRPr="000029DD">
        <w:rPr>
          <w:sz w:val="22"/>
          <w:lang w:val="nl-NL"/>
        </w:rPr>
        <w:t>).</w:t>
      </w:r>
      <w:r w:rsidRPr="00C10783">
        <w:rPr>
          <w:sz w:val="22"/>
          <w:lang w:val="nl-NL"/>
        </w:rPr>
        <w:t xml:space="preserve"> </w:t>
      </w:r>
    </w:p>
    <w:p w:rsidR="00C10783" w:rsidRPr="00C85C64" w:rsidRDefault="00C10783" w:rsidP="00483F56">
      <w:pPr>
        <w:pStyle w:val="ListParagraph"/>
        <w:ind w:left="1440"/>
        <w:jc w:val="both"/>
        <w:rPr>
          <w:sz w:val="22"/>
          <w:lang w:val="nl-NL"/>
        </w:rPr>
      </w:pPr>
    </w:p>
    <w:p w:rsidR="00A55D6B" w:rsidRDefault="00A55D6B" w:rsidP="00483F56">
      <w:pPr>
        <w:pStyle w:val="ListParagraph"/>
        <w:ind w:left="1440"/>
        <w:jc w:val="both"/>
        <w:rPr>
          <w:sz w:val="22"/>
          <w:lang w:val="nl-NL"/>
        </w:rPr>
      </w:pPr>
    </w:p>
    <w:p w:rsidR="00A55D6B" w:rsidRDefault="00A55D6B" w:rsidP="00483F56">
      <w:pPr>
        <w:pStyle w:val="ListParagraph"/>
        <w:ind w:left="1440"/>
        <w:jc w:val="both"/>
        <w:rPr>
          <w:i/>
          <w:sz w:val="22"/>
          <w:lang w:val="nl-NL"/>
        </w:rPr>
      </w:pPr>
      <w:r w:rsidRPr="00A55D6B">
        <w:rPr>
          <w:i/>
          <w:sz w:val="22"/>
          <w:lang w:val="nl-NL"/>
        </w:rPr>
        <w:t>Specifieke elementen om rekening mee te houden</w:t>
      </w:r>
      <w:r w:rsidR="002F7624">
        <w:rPr>
          <w:i/>
          <w:sz w:val="22"/>
          <w:lang w:val="nl-NL"/>
        </w:rPr>
        <w:t xml:space="preserve"> bij interventies</w:t>
      </w:r>
    </w:p>
    <w:p w:rsidR="00A55D6B" w:rsidRDefault="00A55D6B" w:rsidP="00483F56">
      <w:pPr>
        <w:pStyle w:val="ListParagraph"/>
        <w:ind w:left="1440"/>
        <w:jc w:val="both"/>
        <w:rPr>
          <w:sz w:val="22"/>
          <w:lang w:val="nl-NL"/>
        </w:rPr>
      </w:pPr>
    </w:p>
    <w:p w:rsidR="00DE336A" w:rsidRPr="00BC119A" w:rsidRDefault="002F7624" w:rsidP="00483F56">
      <w:pPr>
        <w:pStyle w:val="ListParagraph"/>
        <w:numPr>
          <w:ilvl w:val="0"/>
          <w:numId w:val="7"/>
        </w:numPr>
        <w:ind w:left="1440"/>
        <w:jc w:val="both"/>
        <w:rPr>
          <w:sz w:val="22"/>
          <w:lang w:val="nl-NL"/>
        </w:rPr>
      </w:pPr>
      <w:r>
        <w:rPr>
          <w:sz w:val="22"/>
          <w:lang w:val="nl-NL"/>
        </w:rPr>
        <w:t>D</w:t>
      </w:r>
      <w:r w:rsidR="00C97C20" w:rsidRPr="00BC119A">
        <w:rPr>
          <w:sz w:val="22"/>
          <w:lang w:val="nl-NL"/>
        </w:rPr>
        <w:t xml:space="preserve">e Nederlandse regering </w:t>
      </w:r>
      <w:r>
        <w:rPr>
          <w:sz w:val="22"/>
          <w:lang w:val="nl-NL"/>
        </w:rPr>
        <w:t xml:space="preserve">kiest </w:t>
      </w:r>
      <w:r w:rsidR="00C97C20" w:rsidRPr="00BC119A">
        <w:rPr>
          <w:sz w:val="22"/>
          <w:lang w:val="nl-NL"/>
        </w:rPr>
        <w:t>partij. Dit betekent dat goed nagedacht moet worden over de gevolgen van die keuze voor de betrekkingen met de instellingen en de betrokken lidstaten.</w:t>
      </w:r>
    </w:p>
    <w:p w:rsidR="00DE336A" w:rsidRDefault="00DE336A" w:rsidP="00483F56">
      <w:pPr>
        <w:pStyle w:val="ListParagraph"/>
        <w:numPr>
          <w:ilvl w:val="0"/>
          <w:numId w:val="7"/>
        </w:numPr>
        <w:ind w:left="1440"/>
        <w:jc w:val="both"/>
        <w:rPr>
          <w:sz w:val="22"/>
          <w:lang w:val="nl-NL"/>
        </w:rPr>
      </w:pPr>
      <w:r w:rsidRPr="00DE336A">
        <w:rPr>
          <w:sz w:val="22"/>
          <w:lang w:val="nl-NL"/>
        </w:rPr>
        <w:t xml:space="preserve">De Nederlandse regering ondersteunt met die keuze ook de door de partij aangevoerde gronden en middelen, en mag geen extra gronden of middelen toevoegen. </w:t>
      </w:r>
      <w:r w:rsidR="00A13D37">
        <w:rPr>
          <w:sz w:val="22"/>
          <w:lang w:val="nl-NL"/>
        </w:rPr>
        <w:t>Er is dus geen ruimte voor een afwijkend standpunt.</w:t>
      </w:r>
    </w:p>
    <w:p w:rsidR="00DE336A" w:rsidRPr="00DE336A" w:rsidRDefault="00DE336A" w:rsidP="00483F56">
      <w:pPr>
        <w:pStyle w:val="ListParagraph"/>
        <w:numPr>
          <w:ilvl w:val="0"/>
          <w:numId w:val="7"/>
        </w:numPr>
        <w:ind w:left="1440"/>
        <w:jc w:val="both"/>
        <w:rPr>
          <w:sz w:val="22"/>
          <w:lang w:val="nl-NL"/>
        </w:rPr>
      </w:pPr>
      <w:r w:rsidRPr="00DE336A">
        <w:rPr>
          <w:sz w:val="22"/>
          <w:lang w:val="nl-NL"/>
        </w:rPr>
        <w:t xml:space="preserve">In tegenstelling tot de vrijheid van de lidstaten om hun visie met alle argumenten en </w:t>
      </w:r>
      <w:r w:rsidR="00154CE7" w:rsidRPr="00DE336A">
        <w:rPr>
          <w:sz w:val="22"/>
          <w:lang w:val="nl-NL"/>
        </w:rPr>
        <w:t xml:space="preserve">nuances </w:t>
      </w:r>
      <w:r w:rsidRPr="00DE336A">
        <w:rPr>
          <w:sz w:val="22"/>
          <w:lang w:val="nl-NL"/>
        </w:rPr>
        <w:t>naar voren te brengen</w:t>
      </w:r>
      <w:r w:rsidR="00016028">
        <w:rPr>
          <w:sz w:val="22"/>
          <w:lang w:val="nl-NL"/>
        </w:rPr>
        <w:t xml:space="preserve"> bij een prejudiciële procedure</w:t>
      </w:r>
      <w:r>
        <w:rPr>
          <w:sz w:val="22"/>
          <w:lang w:val="nl-NL"/>
        </w:rPr>
        <w:t>,</w:t>
      </w:r>
      <w:r w:rsidRPr="00DE336A">
        <w:rPr>
          <w:sz w:val="22"/>
          <w:lang w:val="nl-NL"/>
        </w:rPr>
        <w:t xml:space="preserve"> is het bij directe zaken gelet op de aard van de procedure en de formele beperkingen </w:t>
      </w:r>
      <w:r w:rsidR="00A13D37">
        <w:rPr>
          <w:sz w:val="22"/>
          <w:lang w:val="nl-NL"/>
        </w:rPr>
        <w:t>nauwelijks</w:t>
      </w:r>
      <w:r w:rsidRPr="00DE336A">
        <w:rPr>
          <w:sz w:val="22"/>
          <w:lang w:val="nl-NL"/>
        </w:rPr>
        <w:t xml:space="preserve"> mogelijk </w:t>
      </w:r>
      <w:r>
        <w:rPr>
          <w:sz w:val="22"/>
          <w:lang w:val="nl-NL"/>
        </w:rPr>
        <w:t xml:space="preserve">een </w:t>
      </w:r>
      <w:r w:rsidRPr="00DE336A">
        <w:rPr>
          <w:sz w:val="22"/>
          <w:lang w:val="nl-NL"/>
        </w:rPr>
        <w:t>genuanceerd standpunt in te nemen.</w:t>
      </w:r>
    </w:p>
    <w:p w:rsidR="00A55D6B" w:rsidRPr="00DE336A" w:rsidRDefault="00A55D6B" w:rsidP="00483F56">
      <w:pPr>
        <w:pStyle w:val="ListParagraph"/>
        <w:numPr>
          <w:ilvl w:val="0"/>
          <w:numId w:val="7"/>
        </w:numPr>
        <w:ind w:left="1440"/>
        <w:jc w:val="both"/>
        <w:rPr>
          <w:sz w:val="22"/>
          <w:lang w:val="nl-NL"/>
        </w:rPr>
      </w:pPr>
      <w:r w:rsidRPr="00DE336A">
        <w:rPr>
          <w:sz w:val="22"/>
          <w:lang w:val="nl-NL"/>
        </w:rPr>
        <w:t>Anders dan bij de prejudiciële verwijzingen beschikt de Nederlandse regering op het moment dat moet worden overwogen of interventie opportuun is, niet over de uitgebreide achtergrond en onderliggende stukken van het geschil. Die worden pas verzonden nadat het verzoek tot interventie door het Hof/Gerecht is ingewilligd. De beoordeling of en aan welke zijde interventie opportuun is, zal dus in eerste instantie moeten geschieden op basis van de informatie in het Publicatieblad.</w:t>
      </w:r>
      <w:r w:rsidR="00CF7FAB" w:rsidRPr="00DE336A">
        <w:rPr>
          <w:sz w:val="22"/>
          <w:lang w:val="nl-NL"/>
        </w:rPr>
        <w:t xml:space="preserve"> De vakdepartementen kunnen zelf via hun directe collega’s bij het zusterdepartement in de betrokken lidstaat vragen om de stukken. Ook de procesvertegenwoordigers bij BZ kunnen dit eventueel via het </w:t>
      </w:r>
      <w:r w:rsidR="00CF7FAB" w:rsidRPr="00DE336A">
        <w:rPr>
          <w:sz w:val="22"/>
          <w:lang w:val="nl-NL"/>
        </w:rPr>
        <w:lastRenderedPageBreak/>
        <w:t xml:space="preserve">agentennetwerk verzoeken. </w:t>
      </w:r>
      <w:r w:rsidR="00E02BF9">
        <w:rPr>
          <w:sz w:val="22"/>
          <w:lang w:val="nl-NL"/>
        </w:rPr>
        <w:t xml:space="preserve">Er moet daarbij rekening worden gehouden dat die stukken niet altijd in een taal zijn opgesteld die door de gemachtigden wordt beheerst, bijvoorbeeld als het om een Finse inbreukprocedure gaat. In dat geval zal voor een volledige </w:t>
      </w:r>
      <w:r w:rsidR="00243798">
        <w:rPr>
          <w:sz w:val="22"/>
          <w:lang w:val="nl-NL"/>
        </w:rPr>
        <w:t xml:space="preserve">officiële </w:t>
      </w:r>
      <w:r w:rsidR="00E02BF9">
        <w:rPr>
          <w:sz w:val="22"/>
          <w:lang w:val="nl-NL"/>
        </w:rPr>
        <w:t>vertaling toch de stukken van de griffie moeten worden afgewacht.</w:t>
      </w:r>
    </w:p>
    <w:p w:rsidR="00C97C20" w:rsidRDefault="00C97C20" w:rsidP="00483F56">
      <w:pPr>
        <w:pStyle w:val="ListParagraph"/>
        <w:ind w:left="1440"/>
        <w:jc w:val="both"/>
        <w:rPr>
          <w:sz w:val="22"/>
          <w:lang w:val="nl-NL"/>
        </w:rPr>
      </w:pPr>
    </w:p>
    <w:p w:rsidR="00CF7FAB" w:rsidRDefault="00CF7FAB" w:rsidP="00483F56">
      <w:pPr>
        <w:pStyle w:val="ListParagraph"/>
        <w:ind w:left="1440"/>
        <w:jc w:val="both"/>
        <w:rPr>
          <w:sz w:val="22"/>
          <w:lang w:val="nl-NL"/>
        </w:rPr>
      </w:pPr>
    </w:p>
    <w:p w:rsidR="00EB18EA" w:rsidRDefault="00EB18EA" w:rsidP="00483F56">
      <w:pPr>
        <w:pStyle w:val="ListParagraph"/>
        <w:ind w:left="1440"/>
        <w:jc w:val="both"/>
        <w:rPr>
          <w:i/>
          <w:sz w:val="22"/>
          <w:lang w:val="nl-NL"/>
        </w:rPr>
      </w:pPr>
      <w:r>
        <w:rPr>
          <w:i/>
          <w:sz w:val="22"/>
          <w:lang w:val="nl-NL"/>
        </w:rPr>
        <w:t>Advies zaken bij het Hof</w:t>
      </w:r>
    </w:p>
    <w:p w:rsidR="00E43C08" w:rsidRDefault="00F24B15" w:rsidP="00483F56">
      <w:pPr>
        <w:pStyle w:val="ListParagraph"/>
        <w:ind w:left="1440"/>
        <w:jc w:val="both"/>
        <w:rPr>
          <w:sz w:val="22"/>
          <w:lang w:val="nl-NL"/>
        </w:rPr>
      </w:pPr>
      <w:r>
        <w:rPr>
          <w:sz w:val="22"/>
          <w:lang w:val="nl-NL"/>
        </w:rPr>
        <w:t xml:space="preserve">Het Hof kan ook advies uitbrengen over de verenigbaarheid van een beoogde internationale overeenkomst met de EU verdragen op verzoek van de lidstaten, het Europees Parlement, de Raad of de Commissie. Van deze procedure wordt slechts enkele keren in de tien jaar gebruik gemaakt. De laatste adviesprocedure waar Nederland aan mee heeft gedaan was A-01/09 over de verenigbaarheid met het Unierecht van een nieuw op te richten Octrooigerecht. </w:t>
      </w:r>
      <w:r w:rsidR="00E43C08">
        <w:rPr>
          <w:sz w:val="22"/>
          <w:lang w:val="nl-NL"/>
        </w:rPr>
        <w:t>Om te bepalen of het opportuun om in een adviesprocedure mee te doen gelden</w:t>
      </w:r>
      <w:r w:rsidR="00506135">
        <w:rPr>
          <w:sz w:val="22"/>
          <w:lang w:val="nl-NL"/>
        </w:rPr>
        <w:t xml:space="preserve"> de criteria </w:t>
      </w:r>
      <w:r w:rsidR="00E43C08">
        <w:rPr>
          <w:sz w:val="22"/>
          <w:lang w:val="nl-NL"/>
        </w:rPr>
        <w:t>uit</w:t>
      </w:r>
      <w:r w:rsidR="00506135">
        <w:rPr>
          <w:sz w:val="22"/>
          <w:lang w:val="nl-NL"/>
        </w:rPr>
        <w:t xml:space="preserve"> deel I</w:t>
      </w:r>
      <w:r w:rsidR="00E43C08">
        <w:rPr>
          <w:sz w:val="22"/>
          <w:lang w:val="nl-NL"/>
        </w:rPr>
        <w:t xml:space="preserve">.A (m.n. onder h). </w:t>
      </w:r>
    </w:p>
    <w:p w:rsidR="00E43C08" w:rsidRDefault="00E43C08" w:rsidP="00483F56">
      <w:pPr>
        <w:pStyle w:val="ListParagraph"/>
        <w:ind w:left="1440"/>
        <w:jc w:val="both"/>
        <w:rPr>
          <w:sz w:val="22"/>
          <w:lang w:val="nl-NL"/>
        </w:rPr>
      </w:pPr>
    </w:p>
    <w:p w:rsidR="00CF7FAB" w:rsidRDefault="00CF7FAB" w:rsidP="00483F56">
      <w:pPr>
        <w:pStyle w:val="ListParagraph"/>
        <w:ind w:left="1440"/>
        <w:jc w:val="both"/>
        <w:rPr>
          <w:i/>
          <w:sz w:val="22"/>
          <w:lang w:val="nl-NL"/>
        </w:rPr>
      </w:pPr>
      <w:r>
        <w:rPr>
          <w:i/>
          <w:sz w:val="22"/>
          <w:lang w:val="nl-NL"/>
        </w:rPr>
        <w:t>Procedures bij het EVA Hof</w:t>
      </w:r>
    </w:p>
    <w:p w:rsidR="00CF7FAB" w:rsidRDefault="00CF7FAB" w:rsidP="00483F56">
      <w:pPr>
        <w:pStyle w:val="ListParagraph"/>
        <w:ind w:left="1440"/>
        <w:jc w:val="both"/>
        <w:rPr>
          <w:sz w:val="22"/>
          <w:lang w:val="nl-NL"/>
        </w:rPr>
      </w:pPr>
    </w:p>
    <w:p w:rsidR="00B77C80" w:rsidRDefault="00B77C80" w:rsidP="00483F56">
      <w:pPr>
        <w:pStyle w:val="ListParagraph"/>
        <w:ind w:left="1440"/>
        <w:jc w:val="both"/>
        <w:rPr>
          <w:sz w:val="22"/>
          <w:lang w:val="nl-NL"/>
        </w:rPr>
      </w:pPr>
      <w:r>
        <w:rPr>
          <w:sz w:val="22"/>
          <w:lang w:val="nl-NL"/>
        </w:rPr>
        <w:t xml:space="preserve">Ook de rechters uit de landen die lid zijn van de Europese Vrijhandel Associatie (EVA) kunnen prejudiciële vragen stellen. Dit zijn Noorwegen IJsland en Liechtenstein. Daarnaast kunnen ook deze landen onderworpen worden aan inbreukprocedures door de Toezichthoudende Autoriteit de EFTA Surveillance </w:t>
      </w:r>
      <w:proofErr w:type="spellStart"/>
      <w:r>
        <w:rPr>
          <w:sz w:val="22"/>
          <w:lang w:val="nl-NL"/>
        </w:rPr>
        <w:t>Authority</w:t>
      </w:r>
      <w:proofErr w:type="spellEnd"/>
      <w:r>
        <w:rPr>
          <w:sz w:val="22"/>
          <w:lang w:val="nl-NL"/>
        </w:rPr>
        <w:t>. D</w:t>
      </w:r>
      <w:r w:rsidR="00DE336A">
        <w:rPr>
          <w:sz w:val="22"/>
          <w:lang w:val="nl-NL"/>
        </w:rPr>
        <w:t>e</w:t>
      </w:r>
      <w:r w:rsidR="00E8151C">
        <w:rPr>
          <w:sz w:val="22"/>
          <w:lang w:val="nl-NL"/>
        </w:rPr>
        <w:t>ze procedures monden uit bij</w:t>
      </w:r>
      <w:r>
        <w:rPr>
          <w:sz w:val="22"/>
          <w:lang w:val="nl-NL"/>
        </w:rPr>
        <w:t xml:space="preserve"> het EVA Hof (Engels: EFTA Court). Ook de zaken die aanhangig worden bij dit Hof worden onder de departementen verspreid. De EU en de EVA vormen samen de Europees Economische Ruimte. Het EER recht omvat dan ook grote delen van het primaire en afgeleide EU recht. </w:t>
      </w:r>
    </w:p>
    <w:p w:rsidR="00B77C80" w:rsidRDefault="00B77C80" w:rsidP="00483F56">
      <w:pPr>
        <w:pStyle w:val="ListParagraph"/>
        <w:ind w:left="1440"/>
        <w:jc w:val="both"/>
        <w:rPr>
          <w:sz w:val="22"/>
          <w:lang w:val="nl-NL"/>
        </w:rPr>
      </w:pPr>
    </w:p>
    <w:p w:rsidR="00B77C80" w:rsidRDefault="00B77C80" w:rsidP="00483F56">
      <w:pPr>
        <w:pStyle w:val="ListParagraph"/>
        <w:ind w:left="1440"/>
        <w:jc w:val="both"/>
        <w:rPr>
          <w:sz w:val="22"/>
          <w:lang w:val="nl-NL"/>
        </w:rPr>
      </w:pPr>
      <w:r>
        <w:rPr>
          <w:sz w:val="22"/>
          <w:lang w:val="nl-NL"/>
        </w:rPr>
        <w:t>Niet alle criteria voor deelname aan zaken bij het EU Hof zijn op gelijke wijze van toepassing op de overweging v</w:t>
      </w:r>
      <w:r w:rsidR="00DE336A">
        <w:rPr>
          <w:sz w:val="22"/>
          <w:lang w:val="nl-NL"/>
        </w:rPr>
        <w:t>oor</w:t>
      </w:r>
      <w:r>
        <w:rPr>
          <w:sz w:val="22"/>
          <w:lang w:val="nl-NL"/>
        </w:rPr>
        <w:t xml:space="preserve"> deelname aan zaken bij het EVA Hof. Dit heeft de volgende oorzaken:</w:t>
      </w:r>
    </w:p>
    <w:p w:rsidR="00B77C80" w:rsidRDefault="00B77C80" w:rsidP="00483F56">
      <w:pPr>
        <w:pStyle w:val="ListParagraph"/>
        <w:numPr>
          <w:ilvl w:val="0"/>
          <w:numId w:val="12"/>
        </w:numPr>
        <w:jc w:val="both"/>
        <w:rPr>
          <w:sz w:val="22"/>
          <w:lang w:val="nl-NL"/>
        </w:rPr>
      </w:pPr>
      <w:r>
        <w:rPr>
          <w:sz w:val="22"/>
          <w:lang w:val="nl-NL"/>
        </w:rPr>
        <w:t>De uitspraken van het EVA Hof hebben alleen gelding op he grondgebied van Noorwegen, IJsland en Liechtenstein.</w:t>
      </w:r>
    </w:p>
    <w:p w:rsidR="00B77C80" w:rsidRDefault="00B77C80" w:rsidP="00483F56">
      <w:pPr>
        <w:pStyle w:val="ListParagraph"/>
        <w:numPr>
          <w:ilvl w:val="0"/>
          <w:numId w:val="12"/>
        </w:numPr>
        <w:jc w:val="both"/>
        <w:rPr>
          <w:sz w:val="22"/>
          <w:lang w:val="nl-NL"/>
        </w:rPr>
      </w:pPr>
      <w:r>
        <w:rPr>
          <w:sz w:val="22"/>
          <w:lang w:val="nl-NL"/>
        </w:rPr>
        <w:t xml:space="preserve">Het Hof van Justitie is niet gebonden aan de uitleg door het EVA Hof, evenmin als de </w:t>
      </w:r>
      <w:r w:rsidR="00C97C20">
        <w:rPr>
          <w:sz w:val="22"/>
          <w:lang w:val="nl-NL"/>
        </w:rPr>
        <w:t>nationale</w:t>
      </w:r>
      <w:r>
        <w:rPr>
          <w:sz w:val="22"/>
          <w:lang w:val="nl-NL"/>
        </w:rPr>
        <w:t xml:space="preserve"> rechters in de EU lidstaten.</w:t>
      </w:r>
    </w:p>
    <w:p w:rsidR="00B77C80" w:rsidRDefault="00C97C20" w:rsidP="00483F56">
      <w:pPr>
        <w:pStyle w:val="ListParagraph"/>
        <w:numPr>
          <w:ilvl w:val="0"/>
          <w:numId w:val="12"/>
        </w:numPr>
        <w:jc w:val="both"/>
        <w:rPr>
          <w:sz w:val="22"/>
          <w:lang w:val="nl-NL"/>
        </w:rPr>
      </w:pPr>
      <w:r>
        <w:rPr>
          <w:sz w:val="22"/>
          <w:lang w:val="nl-NL"/>
        </w:rPr>
        <w:t>De uitleg die het EVA Hof geeft aan bepalingen van het Verdrag betreffende de Europese Economische Ruimte (voor zover zij overeenkomen met de desbetreffende bepalingen van het VEU en VWEU) of aan de uit het Unierecht overgenomen regelingen van afgeleid recht, dient in overeenstemming te zijn met de uitleg die het Hof van Justitie daar eerder aan heeft gegeven. Hierover waakt het gemengd Comité van de EER, dat de uitleg zo nodig kan voorleggen aan het Hof van Justitie.</w:t>
      </w:r>
    </w:p>
    <w:p w:rsidR="00245C14" w:rsidRPr="00CF7FAB" w:rsidRDefault="00245C14" w:rsidP="00483F56">
      <w:pPr>
        <w:pStyle w:val="ListParagraph"/>
        <w:ind w:left="2160"/>
        <w:jc w:val="both"/>
        <w:rPr>
          <w:sz w:val="22"/>
          <w:lang w:val="nl-NL"/>
        </w:rPr>
      </w:pPr>
    </w:p>
    <w:p w:rsidR="00A55D6B" w:rsidRPr="00A55D6B" w:rsidRDefault="00A55D6B" w:rsidP="00483F56">
      <w:pPr>
        <w:pStyle w:val="ListParagraph"/>
        <w:ind w:left="1440"/>
        <w:jc w:val="both"/>
        <w:rPr>
          <w:sz w:val="22"/>
          <w:lang w:val="nl-NL"/>
        </w:rPr>
      </w:pPr>
    </w:p>
    <w:p w:rsidR="00156E3C" w:rsidRDefault="002F7624" w:rsidP="00483F56">
      <w:pPr>
        <w:pStyle w:val="ListParagraph"/>
        <w:ind w:left="1440"/>
        <w:jc w:val="both"/>
        <w:rPr>
          <w:sz w:val="22"/>
          <w:lang w:val="nl-NL"/>
        </w:rPr>
      </w:pPr>
      <w:r>
        <w:rPr>
          <w:sz w:val="22"/>
          <w:lang w:val="nl-NL"/>
        </w:rPr>
        <w:lastRenderedPageBreak/>
        <w:t>Deelname is daarom overwegend gebaseerd op politieke overwegingen.</w:t>
      </w:r>
    </w:p>
    <w:p w:rsidR="007D04C3" w:rsidRDefault="002F7624" w:rsidP="00483F56">
      <w:pPr>
        <w:pStyle w:val="ListParagraph"/>
        <w:ind w:left="1440"/>
        <w:jc w:val="both"/>
        <w:rPr>
          <w:sz w:val="22"/>
          <w:lang w:val="nl-NL"/>
        </w:rPr>
      </w:pPr>
      <w:r>
        <w:rPr>
          <w:sz w:val="22"/>
          <w:lang w:val="nl-NL"/>
        </w:rPr>
        <w:t xml:space="preserve">Twee recente voorbeelden zijn </w:t>
      </w:r>
      <w:r w:rsidRPr="002F7624">
        <w:rPr>
          <w:sz w:val="22"/>
          <w:lang w:val="nl-NL"/>
        </w:rPr>
        <w:t xml:space="preserve">4/11 </w:t>
      </w:r>
      <w:proofErr w:type="spellStart"/>
      <w:r w:rsidRPr="002F7624">
        <w:rPr>
          <w:sz w:val="22"/>
          <w:lang w:val="nl-NL"/>
        </w:rPr>
        <w:t>Arnulf</w:t>
      </w:r>
      <w:proofErr w:type="spellEnd"/>
      <w:r w:rsidRPr="002F7624">
        <w:rPr>
          <w:sz w:val="22"/>
          <w:lang w:val="nl-NL"/>
        </w:rPr>
        <w:t xml:space="preserve"> </w:t>
      </w:r>
      <w:proofErr w:type="spellStart"/>
      <w:r w:rsidRPr="002F7624">
        <w:rPr>
          <w:sz w:val="22"/>
          <w:lang w:val="nl-NL"/>
        </w:rPr>
        <w:t>Clauder</w:t>
      </w:r>
      <w:proofErr w:type="spellEnd"/>
      <w:r w:rsidRPr="002F7624">
        <w:rPr>
          <w:sz w:val="22"/>
          <w:lang w:val="nl-NL"/>
        </w:rPr>
        <w:t xml:space="preserve"> over vrij verkeer van personen, en E-16/11 ICE </w:t>
      </w:r>
      <w:r>
        <w:rPr>
          <w:sz w:val="22"/>
          <w:lang w:val="nl-NL"/>
        </w:rPr>
        <w:t>S</w:t>
      </w:r>
      <w:r w:rsidRPr="002F7624">
        <w:rPr>
          <w:sz w:val="22"/>
          <w:lang w:val="nl-NL"/>
        </w:rPr>
        <w:t>ave</w:t>
      </w:r>
      <w:r>
        <w:rPr>
          <w:sz w:val="22"/>
          <w:lang w:val="nl-NL"/>
        </w:rPr>
        <w:t xml:space="preserve">. Een gunstige uitspraak betekende dat de </w:t>
      </w:r>
      <w:r w:rsidR="00243798">
        <w:rPr>
          <w:sz w:val="22"/>
          <w:lang w:val="nl-NL"/>
        </w:rPr>
        <w:t>Nederlandse</w:t>
      </w:r>
      <w:r>
        <w:rPr>
          <w:sz w:val="22"/>
          <w:lang w:val="nl-NL"/>
        </w:rPr>
        <w:t xml:space="preserve"> regering sterker staat in </w:t>
      </w:r>
      <w:r w:rsidR="007D04C3">
        <w:rPr>
          <w:sz w:val="22"/>
          <w:lang w:val="nl-NL"/>
        </w:rPr>
        <w:t>(Hof)</w:t>
      </w:r>
      <w:r>
        <w:rPr>
          <w:sz w:val="22"/>
          <w:lang w:val="nl-NL"/>
        </w:rPr>
        <w:t>procedures over dezelfde kwes</w:t>
      </w:r>
      <w:r w:rsidR="007D04C3">
        <w:rPr>
          <w:sz w:val="22"/>
          <w:lang w:val="nl-NL"/>
        </w:rPr>
        <w:t xml:space="preserve">ties. </w:t>
      </w:r>
    </w:p>
    <w:p w:rsidR="007D04C3" w:rsidRDefault="007D04C3" w:rsidP="00483F56">
      <w:pPr>
        <w:pStyle w:val="ListParagraph"/>
        <w:ind w:left="1440"/>
        <w:jc w:val="both"/>
        <w:rPr>
          <w:sz w:val="22"/>
          <w:lang w:val="nl-NL"/>
        </w:rPr>
      </w:pPr>
    </w:p>
    <w:p w:rsidR="00A13D37" w:rsidRPr="000C6E85" w:rsidRDefault="00A13D37" w:rsidP="00483F56">
      <w:pPr>
        <w:pStyle w:val="ListParagraph"/>
        <w:ind w:left="1440"/>
        <w:jc w:val="both"/>
        <w:rPr>
          <w:sz w:val="22"/>
          <w:lang w:val="nl-NL"/>
        </w:rPr>
      </w:pPr>
    </w:p>
    <w:p w:rsidR="00A778D3" w:rsidRPr="00A778D3" w:rsidRDefault="00483F56" w:rsidP="00483F56">
      <w:pPr>
        <w:pStyle w:val="ListParagraph"/>
        <w:jc w:val="both"/>
        <w:rPr>
          <w:b/>
          <w:sz w:val="22"/>
          <w:lang w:val="nl-NL"/>
        </w:rPr>
      </w:pPr>
      <w:r>
        <w:rPr>
          <w:b/>
          <w:sz w:val="22"/>
          <w:lang w:val="nl-NL"/>
        </w:rPr>
        <w:t>III.</w:t>
      </w:r>
      <w:r w:rsidR="00D34BE9">
        <w:rPr>
          <w:b/>
          <w:sz w:val="22"/>
          <w:lang w:val="nl-NL"/>
        </w:rPr>
        <w:t xml:space="preserve"> </w:t>
      </w:r>
      <w:r>
        <w:rPr>
          <w:b/>
          <w:sz w:val="22"/>
          <w:lang w:val="nl-NL"/>
        </w:rPr>
        <w:t>W</w:t>
      </w:r>
      <w:r w:rsidR="00A778D3" w:rsidRPr="00A778D3">
        <w:rPr>
          <w:b/>
          <w:sz w:val="22"/>
          <w:lang w:val="nl-NL"/>
        </w:rPr>
        <w:t xml:space="preserve">erkwijze </w:t>
      </w:r>
    </w:p>
    <w:p w:rsidR="00A778D3" w:rsidRDefault="00A778D3" w:rsidP="00483F56">
      <w:pPr>
        <w:pStyle w:val="ListParagraph"/>
        <w:jc w:val="both"/>
        <w:rPr>
          <w:sz w:val="22"/>
          <w:lang w:val="nl-NL"/>
        </w:rPr>
      </w:pPr>
    </w:p>
    <w:p w:rsidR="00A778D3" w:rsidRPr="00A778D3" w:rsidRDefault="00A778D3" w:rsidP="00483F56">
      <w:pPr>
        <w:pStyle w:val="ListParagraph"/>
        <w:jc w:val="both"/>
        <w:rPr>
          <w:sz w:val="22"/>
          <w:lang w:val="nl-NL"/>
        </w:rPr>
      </w:pPr>
      <w:r w:rsidRPr="00A778D3">
        <w:rPr>
          <w:sz w:val="22"/>
          <w:lang w:val="nl-NL"/>
        </w:rPr>
        <w:t>De prejudiciële verwijzingen worden met een samenvattend fiche door de griffier van BZ/DJZ/ER aan de departementen via het Interdepartementale Commissie Europees Recht - Hofzaken (ICER-H) netwerk doorgestuurd. De beslissing om namens de Nederlandse regering een inbreng te leveren in een aanhangige procedure wordt genomen in de (ICER-H). Hoewel de politieke, juridische of beleidsmatige overwegingen van het beleidsverantwoordelijke departement leidend zijn, zal in geval van discussie de rol van de ICER-H groter zijn in het besluit om wel of niet aan een procedure mee te doen</w:t>
      </w:r>
      <w:proofErr w:type="gramStart"/>
      <w:r w:rsidRPr="00A778D3">
        <w:rPr>
          <w:sz w:val="22"/>
          <w:lang w:val="nl-NL"/>
        </w:rPr>
        <w:t>..</w:t>
      </w:r>
      <w:proofErr w:type="gramEnd"/>
      <w:r w:rsidRPr="00A778D3">
        <w:rPr>
          <w:sz w:val="22"/>
          <w:lang w:val="nl-NL"/>
        </w:rPr>
        <w:t xml:space="preserve"> De Nederlandse regering kan slechts met één mond spreken. Voor het besluit om in een procedure stukken in te dienen is daarom consensus nodig. Deze afstemming wordt gedaan in de ICER-H. Wanneer op dit ambtelijk niveau geen overeenstemming wordt bereikt, zal het besluit op Ministerraad niveau genomen moeten worden. De termijnen om die te bereiken zijn echter kort (2 maanden vanaf publicatie/betekening). Het spreekt daarom voor zich dat deze overeenstemming zo vroeg mogelijk in de procedure moet worden bereikt om het vervolgens ook goed te kunnen verwoorden en tijdig in te dienen.</w:t>
      </w:r>
    </w:p>
    <w:p w:rsidR="00A778D3" w:rsidRPr="00A778D3" w:rsidRDefault="00A778D3" w:rsidP="00483F56">
      <w:pPr>
        <w:pStyle w:val="ListParagraph"/>
        <w:jc w:val="both"/>
        <w:rPr>
          <w:sz w:val="22"/>
          <w:lang w:val="nl-NL"/>
        </w:rPr>
      </w:pPr>
    </w:p>
    <w:p w:rsidR="00A778D3" w:rsidRPr="00A778D3" w:rsidRDefault="00A778D3" w:rsidP="00483F56">
      <w:pPr>
        <w:pStyle w:val="ListParagraph"/>
        <w:jc w:val="both"/>
        <w:rPr>
          <w:sz w:val="22"/>
          <w:lang w:val="nl-NL"/>
        </w:rPr>
      </w:pPr>
      <w:r w:rsidRPr="00A778D3">
        <w:rPr>
          <w:sz w:val="22"/>
          <w:lang w:val="nl-NL"/>
        </w:rPr>
        <w:t>Hetzelfde geldt voor de overeenstemming tussen een kerndepartement en decentrale overheden of uitvoeringsorganisaties over het in te nemen standpunt. Het is nog steeds mogelijk om als Nederlandse regering opmerkingen in te dienen ook wanneer er geen overeenstemming is tussen het kerndepartement en de betrokken decentrale overheid. In zo een geval zal het besluit om het standpunt in te nemen doorgaans ook op niveau van de Ministerraadpolitiek worden genomen.</w:t>
      </w:r>
    </w:p>
    <w:p w:rsidR="00A778D3" w:rsidRPr="00A778D3" w:rsidRDefault="00A778D3" w:rsidP="00483F56">
      <w:pPr>
        <w:pStyle w:val="ListParagraph"/>
        <w:jc w:val="both"/>
        <w:rPr>
          <w:sz w:val="22"/>
          <w:lang w:val="nl-NL"/>
        </w:rPr>
      </w:pPr>
    </w:p>
    <w:p w:rsidR="00A778D3" w:rsidRPr="00A778D3" w:rsidRDefault="00A778D3" w:rsidP="00483F56">
      <w:pPr>
        <w:pStyle w:val="ListParagraph"/>
        <w:jc w:val="both"/>
        <w:rPr>
          <w:sz w:val="22"/>
          <w:lang w:val="nl-NL"/>
        </w:rPr>
      </w:pPr>
      <w:r w:rsidRPr="00A778D3">
        <w:rPr>
          <w:sz w:val="22"/>
          <w:lang w:val="nl-NL"/>
        </w:rPr>
        <w:t xml:space="preserve">De procesvertegenwoordiging voor de Nederlandse regering is ondergebracht bij de minister van Buitenlandse Zaken. Hij heeft zeven personen gemachtigd om namens de Nederlandse regering bij de hoven in Luxemburg op te treden. De gemachtigden, het secretariaat van de ICER-H en de griffier bevinden zich binnen de Afdeling Europees recht van de Directie Juridische Zaken. Zij zijn gezamenlijk verantwoordelijk voor de coördinatie van de procesvoering. Zodra het besluit tot deelname (in de ICER-H) is genomen wordt een gemachtigde aangewezen die verantwoordelijk is voor de coördinatie en formulering van het Nederlandse standpunt dat wordt aangeleverd door een of meerdere verantwoordelijk departement(en). De wijze van aanlevering en de werkwijze bij de voorbereiding van het indienen van opmerkingen in prejudiciële zaken staan beschreven in de ’Aanwijzingen </w:t>
      </w:r>
      <w:r w:rsidRPr="00A778D3">
        <w:rPr>
          <w:sz w:val="22"/>
          <w:lang w:val="nl-NL"/>
        </w:rPr>
        <w:lastRenderedPageBreak/>
        <w:t>voor het maken van schriftelijke opmerkingen, te vinden op de website van het Expertise Centrum Europees Recht (</w:t>
      </w:r>
      <w:hyperlink r:id="rId11" w:history="1">
        <w:r w:rsidRPr="00A778D3">
          <w:rPr>
            <w:rStyle w:val="Hyperlink"/>
            <w:sz w:val="22"/>
            <w:lang w:val="nl-NL"/>
          </w:rPr>
          <w:t>http://www.minbuza.nl/ecer</w:t>
        </w:r>
      </w:hyperlink>
      <w:r w:rsidRPr="00A778D3">
        <w:rPr>
          <w:sz w:val="22"/>
          <w:lang w:val="nl-NL"/>
        </w:rPr>
        <w:t xml:space="preserve">). Daarnaast bevinden zich op de ECER site ook ’Aanwijzingen voor schriftelijke stukken in rechtstreekse zaken EU-Hof’. </w:t>
      </w:r>
    </w:p>
    <w:p w:rsidR="00D83795" w:rsidRPr="00F23DF2" w:rsidRDefault="00D83795" w:rsidP="00483F56">
      <w:pPr>
        <w:pStyle w:val="ListParagraph"/>
        <w:jc w:val="both"/>
        <w:rPr>
          <w:sz w:val="22"/>
          <w:lang w:val="nl-NL"/>
        </w:rPr>
      </w:pPr>
    </w:p>
    <w:sectPr w:rsidR="00D83795" w:rsidRPr="00F23DF2" w:rsidSect="00B61DA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E3C" w:rsidRDefault="00156E3C" w:rsidP="00F23DF2">
      <w:pPr>
        <w:spacing w:after="0"/>
      </w:pPr>
      <w:r>
        <w:separator/>
      </w:r>
    </w:p>
  </w:endnote>
  <w:endnote w:type="continuationSeparator" w:id="0">
    <w:p w:rsidR="00156E3C" w:rsidRDefault="00156E3C" w:rsidP="00F23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350334"/>
      <w:docPartObj>
        <w:docPartGallery w:val="Page Numbers (Bottom of Page)"/>
        <w:docPartUnique/>
      </w:docPartObj>
    </w:sdtPr>
    <w:sdtEndPr/>
    <w:sdtContent>
      <w:p w:rsidR="00156E3C" w:rsidRDefault="00156E3C">
        <w:pPr>
          <w:pStyle w:val="Footer"/>
          <w:jc w:val="right"/>
        </w:pPr>
        <w:r>
          <w:fldChar w:fldCharType="begin"/>
        </w:r>
        <w:r>
          <w:instrText>PAGE   \* MERGEFORMAT</w:instrText>
        </w:r>
        <w:r>
          <w:fldChar w:fldCharType="separate"/>
        </w:r>
        <w:r w:rsidR="00EA1615" w:rsidRPr="00EA1615">
          <w:rPr>
            <w:noProof/>
            <w:lang w:val="nl-NL"/>
          </w:rPr>
          <w:t>1</w:t>
        </w:r>
        <w:r>
          <w:fldChar w:fldCharType="end"/>
        </w:r>
      </w:p>
    </w:sdtContent>
  </w:sdt>
  <w:p w:rsidR="00156E3C" w:rsidRDefault="00156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E3C" w:rsidRDefault="00156E3C" w:rsidP="00F23DF2">
      <w:pPr>
        <w:spacing w:after="0"/>
      </w:pPr>
      <w:r>
        <w:separator/>
      </w:r>
    </w:p>
  </w:footnote>
  <w:footnote w:type="continuationSeparator" w:id="0">
    <w:p w:rsidR="00156E3C" w:rsidRDefault="00156E3C" w:rsidP="00F23D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3C1"/>
    <w:multiLevelType w:val="hybridMultilevel"/>
    <w:tmpl w:val="22FA260A"/>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
    <w:nsid w:val="09DD14AF"/>
    <w:multiLevelType w:val="hybridMultilevel"/>
    <w:tmpl w:val="64941AC0"/>
    <w:lvl w:ilvl="0" w:tplc="04130001">
      <w:start w:val="1"/>
      <w:numFmt w:val="bullet"/>
      <w:lvlText w:val=""/>
      <w:lvlJc w:val="left"/>
      <w:pPr>
        <w:ind w:left="2880" w:hanging="360"/>
      </w:pPr>
      <w:rPr>
        <w:rFonts w:ascii="Symbol" w:hAnsi="Symbo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2">
    <w:nsid w:val="0FCB1725"/>
    <w:multiLevelType w:val="hybridMultilevel"/>
    <w:tmpl w:val="A044E582"/>
    <w:lvl w:ilvl="0" w:tplc="783C1720">
      <w:start w:val="1"/>
      <w:numFmt w:val="upp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nsid w:val="0FD352F0"/>
    <w:multiLevelType w:val="hybridMultilevel"/>
    <w:tmpl w:val="855E103E"/>
    <w:lvl w:ilvl="0" w:tplc="04130001">
      <w:start w:val="1"/>
      <w:numFmt w:val="bullet"/>
      <w:lvlText w:val=""/>
      <w:lvlJc w:val="left"/>
      <w:pPr>
        <w:ind w:left="2880" w:hanging="360"/>
      </w:pPr>
      <w:rPr>
        <w:rFonts w:ascii="Symbol" w:hAnsi="Symbo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4">
    <w:nsid w:val="11B62825"/>
    <w:multiLevelType w:val="hybridMultilevel"/>
    <w:tmpl w:val="34DC2B9E"/>
    <w:lvl w:ilvl="0" w:tplc="04130001">
      <w:start w:val="1"/>
      <w:numFmt w:val="bullet"/>
      <w:lvlText w:val=""/>
      <w:lvlJc w:val="left"/>
      <w:pPr>
        <w:ind w:left="2880" w:hanging="360"/>
      </w:pPr>
      <w:rPr>
        <w:rFonts w:ascii="Symbol" w:hAnsi="Symbo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5">
    <w:nsid w:val="13BA0C39"/>
    <w:multiLevelType w:val="multilevel"/>
    <w:tmpl w:val="0413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nsid w:val="147A4DD1"/>
    <w:multiLevelType w:val="hybridMultilevel"/>
    <w:tmpl w:val="FD9E3F8C"/>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7">
    <w:nsid w:val="17E270FB"/>
    <w:multiLevelType w:val="hybridMultilevel"/>
    <w:tmpl w:val="0B32F0D0"/>
    <w:lvl w:ilvl="0" w:tplc="196A4192">
      <w:start w:val="1"/>
      <w:numFmt w:val="upp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nsid w:val="21F624B5"/>
    <w:multiLevelType w:val="hybridMultilevel"/>
    <w:tmpl w:val="8D94E2B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2387A3A"/>
    <w:multiLevelType w:val="hybridMultilevel"/>
    <w:tmpl w:val="881C29B0"/>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0">
    <w:nsid w:val="31635380"/>
    <w:multiLevelType w:val="hybridMultilevel"/>
    <w:tmpl w:val="D4766AEA"/>
    <w:lvl w:ilvl="0" w:tplc="020A7790">
      <w:start w:val="1"/>
      <w:numFmt w:val="lowerLetter"/>
      <w:lvlText w:val="%1."/>
      <w:lvlJc w:val="left"/>
      <w:pPr>
        <w:ind w:left="2160" w:hanging="360"/>
      </w:pPr>
      <w:rPr>
        <w:i/>
        <w:color w:val="0070C0"/>
      </w:r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1">
    <w:nsid w:val="346D02BF"/>
    <w:multiLevelType w:val="hybridMultilevel"/>
    <w:tmpl w:val="1EC4AF74"/>
    <w:lvl w:ilvl="0" w:tplc="0413000F">
      <w:start w:val="1"/>
      <w:numFmt w:val="decimal"/>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2">
    <w:nsid w:val="3BD77028"/>
    <w:multiLevelType w:val="hybridMultilevel"/>
    <w:tmpl w:val="8DE401A0"/>
    <w:lvl w:ilvl="0" w:tplc="49629F06">
      <w:start w:val="1"/>
      <w:numFmt w:val="bullet"/>
      <w:lvlText w:val=""/>
      <w:lvlJc w:val="left"/>
      <w:pPr>
        <w:ind w:left="2880" w:hanging="360"/>
      </w:pPr>
      <w:rPr>
        <w:rFonts w:ascii="Symbol" w:hAnsi="Symbo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13">
    <w:nsid w:val="42004C64"/>
    <w:multiLevelType w:val="hybridMultilevel"/>
    <w:tmpl w:val="D7BE2202"/>
    <w:lvl w:ilvl="0" w:tplc="0413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4">
    <w:nsid w:val="4F8B5401"/>
    <w:multiLevelType w:val="hybridMultilevel"/>
    <w:tmpl w:val="6CAED35C"/>
    <w:lvl w:ilvl="0" w:tplc="5F0A56E8">
      <w:start w:val="1"/>
      <w:numFmt w:val="upp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nsid w:val="541D1C79"/>
    <w:multiLevelType w:val="hybridMultilevel"/>
    <w:tmpl w:val="EA9CF7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7384BCD"/>
    <w:multiLevelType w:val="hybridMultilevel"/>
    <w:tmpl w:val="6B680270"/>
    <w:lvl w:ilvl="0" w:tplc="04130001">
      <w:start w:val="1"/>
      <w:numFmt w:val="bullet"/>
      <w:lvlText w:val=""/>
      <w:lvlJc w:val="left"/>
      <w:pPr>
        <w:ind w:left="2880" w:hanging="360"/>
      </w:pPr>
      <w:rPr>
        <w:rFonts w:ascii="Symbol" w:hAnsi="Symbo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17">
    <w:nsid w:val="595B45D8"/>
    <w:multiLevelType w:val="hybridMultilevel"/>
    <w:tmpl w:val="855E042C"/>
    <w:lvl w:ilvl="0" w:tplc="020A7790">
      <w:start w:val="1"/>
      <w:numFmt w:val="lowerLetter"/>
      <w:lvlText w:val="%1."/>
      <w:lvlJc w:val="left"/>
      <w:pPr>
        <w:ind w:left="1440" w:hanging="360"/>
      </w:pPr>
      <w:rPr>
        <w:i/>
        <w:color w:val="0070C0"/>
      </w:rPr>
    </w:lvl>
    <w:lvl w:ilvl="1" w:tplc="8C005A0A">
      <w:start w:val="1"/>
      <w:numFmt w:val="lowerLetter"/>
      <w:lvlText w:val="%2."/>
      <w:lvlJc w:val="left"/>
      <w:pPr>
        <w:ind w:left="2160" w:hanging="360"/>
      </w:pPr>
      <w:rPr>
        <w:i/>
      </w:r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nsid w:val="5AA655E7"/>
    <w:multiLevelType w:val="hybridMultilevel"/>
    <w:tmpl w:val="D4766AEA"/>
    <w:lvl w:ilvl="0" w:tplc="020A7790">
      <w:start w:val="1"/>
      <w:numFmt w:val="lowerLetter"/>
      <w:lvlText w:val="%1."/>
      <w:lvlJc w:val="left"/>
      <w:pPr>
        <w:ind w:left="2160" w:hanging="360"/>
      </w:pPr>
      <w:rPr>
        <w:i/>
        <w:color w:val="0070C0"/>
      </w:r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9">
    <w:nsid w:val="5E8E4ADC"/>
    <w:multiLevelType w:val="hybridMultilevel"/>
    <w:tmpl w:val="5D96CE20"/>
    <w:lvl w:ilvl="0" w:tplc="04130001">
      <w:start w:val="1"/>
      <w:numFmt w:val="bullet"/>
      <w:lvlText w:val=""/>
      <w:lvlJc w:val="left"/>
      <w:pPr>
        <w:ind w:left="2880" w:hanging="360"/>
      </w:pPr>
      <w:rPr>
        <w:rFonts w:ascii="Symbol" w:hAnsi="Symbo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20">
    <w:nsid w:val="6D0C3F21"/>
    <w:multiLevelType w:val="hybridMultilevel"/>
    <w:tmpl w:val="A7E8F458"/>
    <w:lvl w:ilvl="0" w:tplc="7EDC487A">
      <w:start w:val="1"/>
      <w:numFmt w:val="lowerLetter"/>
      <w:lvlText w:val="%1."/>
      <w:lvlJc w:val="left"/>
      <w:pPr>
        <w:ind w:left="2160" w:hanging="360"/>
      </w:pPr>
      <w:rPr>
        <w:color w:val="0070C0"/>
      </w:r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21">
    <w:nsid w:val="723B0D39"/>
    <w:multiLevelType w:val="hybridMultilevel"/>
    <w:tmpl w:val="C6F408B6"/>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num w:numId="1">
    <w:abstractNumId w:val="8"/>
  </w:num>
  <w:num w:numId="2">
    <w:abstractNumId w:val="7"/>
  </w:num>
  <w:num w:numId="3">
    <w:abstractNumId w:val="10"/>
  </w:num>
  <w:num w:numId="4">
    <w:abstractNumId w:val="20"/>
  </w:num>
  <w:num w:numId="5">
    <w:abstractNumId w:val="13"/>
  </w:num>
  <w:num w:numId="6">
    <w:abstractNumId w:val="21"/>
  </w:num>
  <w:num w:numId="7">
    <w:abstractNumId w:val="6"/>
  </w:num>
  <w:num w:numId="8">
    <w:abstractNumId w:val="4"/>
  </w:num>
  <w:num w:numId="9">
    <w:abstractNumId w:val="3"/>
  </w:num>
  <w:num w:numId="10">
    <w:abstractNumId w:val="16"/>
  </w:num>
  <w:num w:numId="11">
    <w:abstractNumId w:val="19"/>
  </w:num>
  <w:num w:numId="12">
    <w:abstractNumId w:val="0"/>
  </w:num>
  <w:num w:numId="13">
    <w:abstractNumId w:val="1"/>
  </w:num>
  <w:num w:numId="14">
    <w:abstractNumId w:val="11"/>
  </w:num>
  <w:num w:numId="15">
    <w:abstractNumId w:val="9"/>
  </w:num>
  <w:num w:numId="16">
    <w:abstractNumId w:val="18"/>
  </w:num>
  <w:num w:numId="17">
    <w:abstractNumId w:val="2"/>
  </w:num>
  <w:num w:numId="18">
    <w:abstractNumId w:val="14"/>
  </w:num>
  <w:num w:numId="19">
    <w:abstractNumId w:val="5"/>
  </w:num>
  <w:num w:numId="20">
    <w:abstractNumId w:val="17"/>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1E"/>
    <w:rsid w:val="000029DD"/>
    <w:rsid w:val="00002F07"/>
    <w:rsid w:val="00003140"/>
    <w:rsid w:val="000147B2"/>
    <w:rsid w:val="00016028"/>
    <w:rsid w:val="000256E8"/>
    <w:rsid w:val="00036BB7"/>
    <w:rsid w:val="00055989"/>
    <w:rsid w:val="000600F2"/>
    <w:rsid w:val="00073CA0"/>
    <w:rsid w:val="00074BDA"/>
    <w:rsid w:val="00090759"/>
    <w:rsid w:val="000A2017"/>
    <w:rsid w:val="000A7B10"/>
    <w:rsid w:val="000B07F2"/>
    <w:rsid w:val="000B2DC7"/>
    <w:rsid w:val="000C6E85"/>
    <w:rsid w:val="000E0AA9"/>
    <w:rsid w:val="000E57AC"/>
    <w:rsid w:val="00125ABB"/>
    <w:rsid w:val="001322BA"/>
    <w:rsid w:val="00132639"/>
    <w:rsid w:val="0014586B"/>
    <w:rsid w:val="00154CE7"/>
    <w:rsid w:val="00156E3C"/>
    <w:rsid w:val="001620EC"/>
    <w:rsid w:val="00162D80"/>
    <w:rsid w:val="00163124"/>
    <w:rsid w:val="00164678"/>
    <w:rsid w:val="001709EA"/>
    <w:rsid w:val="00187B0A"/>
    <w:rsid w:val="00193E15"/>
    <w:rsid w:val="001C0477"/>
    <w:rsid w:val="001D0EE6"/>
    <w:rsid w:val="001D19F2"/>
    <w:rsid w:val="001D6C03"/>
    <w:rsid w:val="001D7C5D"/>
    <w:rsid w:val="001E65FB"/>
    <w:rsid w:val="001E6A8C"/>
    <w:rsid w:val="001F1021"/>
    <w:rsid w:val="00207B4F"/>
    <w:rsid w:val="002106D3"/>
    <w:rsid w:val="00220806"/>
    <w:rsid w:val="00225D88"/>
    <w:rsid w:val="0024079A"/>
    <w:rsid w:val="00243798"/>
    <w:rsid w:val="00243E43"/>
    <w:rsid w:val="00245C14"/>
    <w:rsid w:val="00265FB3"/>
    <w:rsid w:val="002926B5"/>
    <w:rsid w:val="002A1EE2"/>
    <w:rsid w:val="002A302B"/>
    <w:rsid w:val="002A49CF"/>
    <w:rsid w:val="002C0E71"/>
    <w:rsid w:val="002C1669"/>
    <w:rsid w:val="002C1EF9"/>
    <w:rsid w:val="002C4AA5"/>
    <w:rsid w:val="002C7215"/>
    <w:rsid w:val="002C7D39"/>
    <w:rsid w:val="002D0047"/>
    <w:rsid w:val="002D4019"/>
    <w:rsid w:val="002F6B60"/>
    <w:rsid w:val="002F6E8F"/>
    <w:rsid w:val="002F7624"/>
    <w:rsid w:val="00302C51"/>
    <w:rsid w:val="00305893"/>
    <w:rsid w:val="00314333"/>
    <w:rsid w:val="0033008A"/>
    <w:rsid w:val="003571E4"/>
    <w:rsid w:val="003656E1"/>
    <w:rsid w:val="00367CA3"/>
    <w:rsid w:val="00390992"/>
    <w:rsid w:val="00393529"/>
    <w:rsid w:val="003974FA"/>
    <w:rsid w:val="003A2080"/>
    <w:rsid w:val="003B2FE4"/>
    <w:rsid w:val="003B419D"/>
    <w:rsid w:val="003D3FDB"/>
    <w:rsid w:val="003E5A81"/>
    <w:rsid w:val="003E6522"/>
    <w:rsid w:val="003F35AD"/>
    <w:rsid w:val="003F3F85"/>
    <w:rsid w:val="003F5B9F"/>
    <w:rsid w:val="004028C9"/>
    <w:rsid w:val="00432AC8"/>
    <w:rsid w:val="00433477"/>
    <w:rsid w:val="004539B6"/>
    <w:rsid w:val="0045408E"/>
    <w:rsid w:val="00476229"/>
    <w:rsid w:val="00483F56"/>
    <w:rsid w:val="00485740"/>
    <w:rsid w:val="004903B8"/>
    <w:rsid w:val="00495EF5"/>
    <w:rsid w:val="004B2F0E"/>
    <w:rsid w:val="004C0F44"/>
    <w:rsid w:val="004D0D9E"/>
    <w:rsid w:val="004D6657"/>
    <w:rsid w:val="004E05A3"/>
    <w:rsid w:val="004E75C1"/>
    <w:rsid w:val="004F1E6F"/>
    <w:rsid w:val="00506135"/>
    <w:rsid w:val="00507DA9"/>
    <w:rsid w:val="00516005"/>
    <w:rsid w:val="00533FC0"/>
    <w:rsid w:val="00543355"/>
    <w:rsid w:val="00544456"/>
    <w:rsid w:val="00581AC3"/>
    <w:rsid w:val="00590AA9"/>
    <w:rsid w:val="005B3E13"/>
    <w:rsid w:val="005D479F"/>
    <w:rsid w:val="005E67F5"/>
    <w:rsid w:val="005F2F56"/>
    <w:rsid w:val="006068B1"/>
    <w:rsid w:val="0060706F"/>
    <w:rsid w:val="00625DA6"/>
    <w:rsid w:val="0063043C"/>
    <w:rsid w:val="00645537"/>
    <w:rsid w:val="00645BA0"/>
    <w:rsid w:val="006534CE"/>
    <w:rsid w:val="00673B6B"/>
    <w:rsid w:val="006A3D11"/>
    <w:rsid w:val="006B12AF"/>
    <w:rsid w:val="006C2DFD"/>
    <w:rsid w:val="006D0F41"/>
    <w:rsid w:val="00703DCF"/>
    <w:rsid w:val="00723058"/>
    <w:rsid w:val="00731600"/>
    <w:rsid w:val="00732CFE"/>
    <w:rsid w:val="00740B81"/>
    <w:rsid w:val="007571DA"/>
    <w:rsid w:val="00782B6E"/>
    <w:rsid w:val="00784EF7"/>
    <w:rsid w:val="00785E8E"/>
    <w:rsid w:val="00797920"/>
    <w:rsid w:val="007A6629"/>
    <w:rsid w:val="007B5400"/>
    <w:rsid w:val="007C72DB"/>
    <w:rsid w:val="007D04C3"/>
    <w:rsid w:val="007D59D3"/>
    <w:rsid w:val="007F4615"/>
    <w:rsid w:val="007F492E"/>
    <w:rsid w:val="0080444B"/>
    <w:rsid w:val="00831479"/>
    <w:rsid w:val="00850B49"/>
    <w:rsid w:val="0088005D"/>
    <w:rsid w:val="00883C64"/>
    <w:rsid w:val="008907D0"/>
    <w:rsid w:val="008914E4"/>
    <w:rsid w:val="008C47D1"/>
    <w:rsid w:val="0090401E"/>
    <w:rsid w:val="0090553B"/>
    <w:rsid w:val="00917463"/>
    <w:rsid w:val="00921D13"/>
    <w:rsid w:val="00923B54"/>
    <w:rsid w:val="00932397"/>
    <w:rsid w:val="009430D5"/>
    <w:rsid w:val="00944FD0"/>
    <w:rsid w:val="00947074"/>
    <w:rsid w:val="009470A9"/>
    <w:rsid w:val="00953F50"/>
    <w:rsid w:val="00955595"/>
    <w:rsid w:val="00955BCD"/>
    <w:rsid w:val="00956799"/>
    <w:rsid w:val="00963BCB"/>
    <w:rsid w:val="009706C3"/>
    <w:rsid w:val="009740C0"/>
    <w:rsid w:val="00983D94"/>
    <w:rsid w:val="009A7ED4"/>
    <w:rsid w:val="009B0098"/>
    <w:rsid w:val="009B4CC1"/>
    <w:rsid w:val="009B6AF9"/>
    <w:rsid w:val="009B779A"/>
    <w:rsid w:val="009C22B9"/>
    <w:rsid w:val="009C259A"/>
    <w:rsid w:val="009D49A5"/>
    <w:rsid w:val="009E5D52"/>
    <w:rsid w:val="00A0419C"/>
    <w:rsid w:val="00A12F66"/>
    <w:rsid w:val="00A13D37"/>
    <w:rsid w:val="00A538A2"/>
    <w:rsid w:val="00A53F39"/>
    <w:rsid w:val="00A55D6B"/>
    <w:rsid w:val="00A724C8"/>
    <w:rsid w:val="00A778D3"/>
    <w:rsid w:val="00A81B81"/>
    <w:rsid w:val="00A842D8"/>
    <w:rsid w:val="00A92CEF"/>
    <w:rsid w:val="00A952DD"/>
    <w:rsid w:val="00AB30D6"/>
    <w:rsid w:val="00AC6841"/>
    <w:rsid w:val="00AD5CD8"/>
    <w:rsid w:val="00AF1165"/>
    <w:rsid w:val="00AF40F5"/>
    <w:rsid w:val="00AF606F"/>
    <w:rsid w:val="00B01805"/>
    <w:rsid w:val="00B122A6"/>
    <w:rsid w:val="00B145E8"/>
    <w:rsid w:val="00B20AE3"/>
    <w:rsid w:val="00B25F61"/>
    <w:rsid w:val="00B424FC"/>
    <w:rsid w:val="00B43C5B"/>
    <w:rsid w:val="00B47128"/>
    <w:rsid w:val="00B52798"/>
    <w:rsid w:val="00B61DAD"/>
    <w:rsid w:val="00B65044"/>
    <w:rsid w:val="00B66373"/>
    <w:rsid w:val="00B77C80"/>
    <w:rsid w:val="00B96FEF"/>
    <w:rsid w:val="00B97990"/>
    <w:rsid w:val="00B97E0A"/>
    <w:rsid w:val="00BA0DE0"/>
    <w:rsid w:val="00BA3919"/>
    <w:rsid w:val="00BB45B5"/>
    <w:rsid w:val="00BC119A"/>
    <w:rsid w:val="00BD477C"/>
    <w:rsid w:val="00C10193"/>
    <w:rsid w:val="00C10783"/>
    <w:rsid w:val="00C1328E"/>
    <w:rsid w:val="00C16F05"/>
    <w:rsid w:val="00C1784A"/>
    <w:rsid w:val="00C17E3C"/>
    <w:rsid w:val="00C22A87"/>
    <w:rsid w:val="00C4537E"/>
    <w:rsid w:val="00C537A2"/>
    <w:rsid w:val="00C74B1E"/>
    <w:rsid w:val="00C85C64"/>
    <w:rsid w:val="00C8724D"/>
    <w:rsid w:val="00C915E5"/>
    <w:rsid w:val="00C94AA7"/>
    <w:rsid w:val="00C95CF7"/>
    <w:rsid w:val="00C97C20"/>
    <w:rsid w:val="00CA2B26"/>
    <w:rsid w:val="00CB3539"/>
    <w:rsid w:val="00CC503D"/>
    <w:rsid w:val="00CD5B2F"/>
    <w:rsid w:val="00CF0770"/>
    <w:rsid w:val="00CF0D70"/>
    <w:rsid w:val="00CF45B4"/>
    <w:rsid w:val="00CF4CED"/>
    <w:rsid w:val="00CF7FAB"/>
    <w:rsid w:val="00D0632D"/>
    <w:rsid w:val="00D12A27"/>
    <w:rsid w:val="00D154BF"/>
    <w:rsid w:val="00D21599"/>
    <w:rsid w:val="00D309B7"/>
    <w:rsid w:val="00D34BE9"/>
    <w:rsid w:val="00D37AE2"/>
    <w:rsid w:val="00D519F6"/>
    <w:rsid w:val="00D60A6A"/>
    <w:rsid w:val="00D67068"/>
    <w:rsid w:val="00D677C1"/>
    <w:rsid w:val="00D70C92"/>
    <w:rsid w:val="00D75FA4"/>
    <w:rsid w:val="00D80AC3"/>
    <w:rsid w:val="00D8276E"/>
    <w:rsid w:val="00D82D90"/>
    <w:rsid w:val="00D83795"/>
    <w:rsid w:val="00D8780D"/>
    <w:rsid w:val="00DA0361"/>
    <w:rsid w:val="00DA5696"/>
    <w:rsid w:val="00DC241F"/>
    <w:rsid w:val="00DD28A3"/>
    <w:rsid w:val="00DD6387"/>
    <w:rsid w:val="00DE14B3"/>
    <w:rsid w:val="00DE336A"/>
    <w:rsid w:val="00E01521"/>
    <w:rsid w:val="00E02BF9"/>
    <w:rsid w:val="00E02C50"/>
    <w:rsid w:val="00E10817"/>
    <w:rsid w:val="00E3223D"/>
    <w:rsid w:val="00E336F8"/>
    <w:rsid w:val="00E43C08"/>
    <w:rsid w:val="00E44B97"/>
    <w:rsid w:val="00E57B8E"/>
    <w:rsid w:val="00E60463"/>
    <w:rsid w:val="00E62BEF"/>
    <w:rsid w:val="00E6773D"/>
    <w:rsid w:val="00E733DA"/>
    <w:rsid w:val="00E76AB3"/>
    <w:rsid w:val="00E8151C"/>
    <w:rsid w:val="00E81C2D"/>
    <w:rsid w:val="00E82268"/>
    <w:rsid w:val="00EA1615"/>
    <w:rsid w:val="00EA411E"/>
    <w:rsid w:val="00EB18EA"/>
    <w:rsid w:val="00EB311B"/>
    <w:rsid w:val="00EB41AD"/>
    <w:rsid w:val="00EC15C4"/>
    <w:rsid w:val="00EC5494"/>
    <w:rsid w:val="00EC6C6A"/>
    <w:rsid w:val="00ED55B9"/>
    <w:rsid w:val="00EE10E9"/>
    <w:rsid w:val="00EE6FF9"/>
    <w:rsid w:val="00EE7565"/>
    <w:rsid w:val="00EF0026"/>
    <w:rsid w:val="00EF12A4"/>
    <w:rsid w:val="00F17F5A"/>
    <w:rsid w:val="00F23DF2"/>
    <w:rsid w:val="00F24883"/>
    <w:rsid w:val="00F24B15"/>
    <w:rsid w:val="00F25A5C"/>
    <w:rsid w:val="00F37D94"/>
    <w:rsid w:val="00F465CB"/>
    <w:rsid w:val="00F54322"/>
    <w:rsid w:val="00F551A3"/>
    <w:rsid w:val="00F6225F"/>
    <w:rsid w:val="00F647FE"/>
    <w:rsid w:val="00F84986"/>
    <w:rsid w:val="00F9357F"/>
    <w:rsid w:val="00FB67A8"/>
    <w:rsid w:val="00FC67B2"/>
    <w:rsid w:val="00FC6EEC"/>
    <w:rsid w:val="00FD3A0D"/>
    <w:rsid w:val="00FD724A"/>
    <w:rsid w:val="00FF1B28"/>
    <w:rsid w:val="00FF3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6387"/>
    <w:pPr>
      <w:keepNext/>
      <w:keepLines/>
      <w:numPr>
        <w:numId w:val="1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1C2D"/>
    <w:pPr>
      <w:keepNext/>
      <w:keepLines/>
      <w:numPr>
        <w:ilvl w:val="1"/>
        <w:numId w:val="19"/>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81C2D"/>
    <w:pPr>
      <w:keepNext/>
      <w:keepLines/>
      <w:numPr>
        <w:ilvl w:val="2"/>
        <w:numId w:val="1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1C2D"/>
    <w:pPr>
      <w:keepNext/>
      <w:keepLines/>
      <w:numPr>
        <w:ilvl w:val="3"/>
        <w:numId w:val="1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1C2D"/>
    <w:pPr>
      <w:keepNext/>
      <w:keepLines/>
      <w:numPr>
        <w:ilvl w:val="4"/>
        <w:numId w:val="1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81C2D"/>
    <w:pPr>
      <w:keepNext/>
      <w:keepLines/>
      <w:numPr>
        <w:ilvl w:val="5"/>
        <w:numId w:val="1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81C2D"/>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1C2D"/>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1C2D"/>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DF2"/>
    <w:pPr>
      <w:tabs>
        <w:tab w:val="center" w:pos="4513"/>
        <w:tab w:val="right" w:pos="9026"/>
      </w:tabs>
      <w:spacing w:after="0"/>
    </w:pPr>
  </w:style>
  <w:style w:type="character" w:customStyle="1" w:styleId="HeaderChar">
    <w:name w:val="Header Char"/>
    <w:basedOn w:val="DefaultParagraphFont"/>
    <w:link w:val="Header"/>
    <w:uiPriority w:val="99"/>
    <w:rsid w:val="00F23DF2"/>
  </w:style>
  <w:style w:type="paragraph" w:styleId="Footer">
    <w:name w:val="footer"/>
    <w:basedOn w:val="Normal"/>
    <w:link w:val="FooterChar"/>
    <w:uiPriority w:val="99"/>
    <w:unhideWhenUsed/>
    <w:rsid w:val="00F23DF2"/>
    <w:pPr>
      <w:tabs>
        <w:tab w:val="center" w:pos="4513"/>
        <w:tab w:val="right" w:pos="9026"/>
      </w:tabs>
      <w:spacing w:after="0"/>
    </w:pPr>
  </w:style>
  <w:style w:type="character" w:customStyle="1" w:styleId="FooterChar">
    <w:name w:val="Footer Char"/>
    <w:basedOn w:val="DefaultParagraphFont"/>
    <w:link w:val="Footer"/>
    <w:uiPriority w:val="99"/>
    <w:rsid w:val="00F23DF2"/>
  </w:style>
  <w:style w:type="paragraph" w:styleId="ListParagraph">
    <w:name w:val="List Paragraph"/>
    <w:basedOn w:val="Normal"/>
    <w:uiPriority w:val="34"/>
    <w:qFormat/>
    <w:rsid w:val="00F23DF2"/>
    <w:pPr>
      <w:ind w:left="720"/>
      <w:contextualSpacing/>
    </w:pPr>
  </w:style>
  <w:style w:type="paragraph" w:styleId="EndnoteText">
    <w:name w:val="endnote text"/>
    <w:basedOn w:val="Normal"/>
    <w:link w:val="EndnoteTextChar"/>
    <w:uiPriority w:val="99"/>
    <w:semiHidden/>
    <w:unhideWhenUsed/>
    <w:rsid w:val="002A302B"/>
    <w:pPr>
      <w:spacing w:after="0"/>
    </w:pPr>
    <w:rPr>
      <w:sz w:val="20"/>
      <w:szCs w:val="20"/>
    </w:rPr>
  </w:style>
  <w:style w:type="character" w:customStyle="1" w:styleId="EndnoteTextChar">
    <w:name w:val="Endnote Text Char"/>
    <w:basedOn w:val="DefaultParagraphFont"/>
    <w:link w:val="EndnoteText"/>
    <w:uiPriority w:val="99"/>
    <w:semiHidden/>
    <w:rsid w:val="002A302B"/>
    <w:rPr>
      <w:sz w:val="20"/>
      <w:szCs w:val="20"/>
    </w:rPr>
  </w:style>
  <w:style w:type="character" w:styleId="EndnoteReference">
    <w:name w:val="endnote reference"/>
    <w:basedOn w:val="DefaultParagraphFont"/>
    <w:uiPriority w:val="99"/>
    <w:semiHidden/>
    <w:unhideWhenUsed/>
    <w:rsid w:val="002A302B"/>
    <w:rPr>
      <w:vertAlign w:val="superscript"/>
    </w:rPr>
  </w:style>
  <w:style w:type="character" w:styleId="Hyperlink">
    <w:name w:val="Hyperlink"/>
    <w:basedOn w:val="DefaultParagraphFont"/>
    <w:uiPriority w:val="99"/>
    <w:unhideWhenUsed/>
    <w:rsid w:val="00AF40F5"/>
    <w:rPr>
      <w:color w:val="0000FF" w:themeColor="hyperlink"/>
      <w:u w:val="single"/>
    </w:rPr>
  </w:style>
  <w:style w:type="paragraph" w:styleId="BalloonText">
    <w:name w:val="Balloon Text"/>
    <w:basedOn w:val="Normal"/>
    <w:link w:val="BalloonTextChar"/>
    <w:uiPriority w:val="99"/>
    <w:semiHidden/>
    <w:unhideWhenUsed/>
    <w:rsid w:val="009C22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2B9"/>
    <w:rPr>
      <w:rFonts w:ascii="Tahoma" w:hAnsi="Tahoma" w:cs="Tahoma"/>
      <w:sz w:val="16"/>
      <w:szCs w:val="16"/>
    </w:rPr>
  </w:style>
  <w:style w:type="character" w:styleId="CommentReference">
    <w:name w:val="annotation reference"/>
    <w:basedOn w:val="DefaultParagraphFont"/>
    <w:uiPriority w:val="99"/>
    <w:semiHidden/>
    <w:unhideWhenUsed/>
    <w:rsid w:val="00F25A5C"/>
    <w:rPr>
      <w:sz w:val="16"/>
      <w:szCs w:val="16"/>
    </w:rPr>
  </w:style>
  <w:style w:type="paragraph" w:styleId="CommentText">
    <w:name w:val="annotation text"/>
    <w:basedOn w:val="Normal"/>
    <w:link w:val="CommentTextChar"/>
    <w:uiPriority w:val="99"/>
    <w:semiHidden/>
    <w:unhideWhenUsed/>
    <w:rsid w:val="00F25A5C"/>
    <w:rPr>
      <w:sz w:val="20"/>
      <w:szCs w:val="20"/>
    </w:rPr>
  </w:style>
  <w:style w:type="character" w:customStyle="1" w:styleId="CommentTextChar">
    <w:name w:val="Comment Text Char"/>
    <w:basedOn w:val="DefaultParagraphFont"/>
    <w:link w:val="CommentText"/>
    <w:uiPriority w:val="99"/>
    <w:semiHidden/>
    <w:rsid w:val="00F25A5C"/>
    <w:rPr>
      <w:sz w:val="20"/>
      <w:szCs w:val="20"/>
    </w:rPr>
  </w:style>
  <w:style w:type="paragraph" w:styleId="CommentSubject">
    <w:name w:val="annotation subject"/>
    <w:basedOn w:val="CommentText"/>
    <w:next w:val="CommentText"/>
    <w:link w:val="CommentSubjectChar"/>
    <w:uiPriority w:val="99"/>
    <w:semiHidden/>
    <w:unhideWhenUsed/>
    <w:rsid w:val="00F25A5C"/>
    <w:rPr>
      <w:b/>
      <w:bCs/>
    </w:rPr>
  </w:style>
  <w:style w:type="character" w:customStyle="1" w:styleId="CommentSubjectChar">
    <w:name w:val="Comment Subject Char"/>
    <w:basedOn w:val="CommentTextChar"/>
    <w:link w:val="CommentSubject"/>
    <w:uiPriority w:val="99"/>
    <w:semiHidden/>
    <w:rsid w:val="00F25A5C"/>
    <w:rPr>
      <w:b/>
      <w:bCs/>
      <w:sz w:val="20"/>
      <w:szCs w:val="20"/>
    </w:rPr>
  </w:style>
  <w:style w:type="paragraph" w:styleId="Revision">
    <w:name w:val="Revision"/>
    <w:hidden/>
    <w:uiPriority w:val="99"/>
    <w:semiHidden/>
    <w:rsid w:val="00DE14B3"/>
    <w:pPr>
      <w:spacing w:after="0"/>
    </w:pPr>
  </w:style>
  <w:style w:type="paragraph" w:styleId="NoSpacing">
    <w:name w:val="No Spacing"/>
    <w:uiPriority w:val="1"/>
    <w:qFormat/>
    <w:rsid w:val="00B97E0A"/>
    <w:pPr>
      <w:spacing w:after="0"/>
    </w:pPr>
  </w:style>
  <w:style w:type="character" w:customStyle="1" w:styleId="Heading1Char">
    <w:name w:val="Heading 1 Char"/>
    <w:basedOn w:val="DefaultParagraphFont"/>
    <w:link w:val="Heading1"/>
    <w:uiPriority w:val="9"/>
    <w:rsid w:val="00DD63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1C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81C2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81C2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81C2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81C2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81C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81C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81C2D"/>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6387"/>
    <w:pPr>
      <w:keepNext/>
      <w:keepLines/>
      <w:numPr>
        <w:numId w:val="1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1C2D"/>
    <w:pPr>
      <w:keepNext/>
      <w:keepLines/>
      <w:numPr>
        <w:ilvl w:val="1"/>
        <w:numId w:val="19"/>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81C2D"/>
    <w:pPr>
      <w:keepNext/>
      <w:keepLines/>
      <w:numPr>
        <w:ilvl w:val="2"/>
        <w:numId w:val="1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1C2D"/>
    <w:pPr>
      <w:keepNext/>
      <w:keepLines/>
      <w:numPr>
        <w:ilvl w:val="3"/>
        <w:numId w:val="1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1C2D"/>
    <w:pPr>
      <w:keepNext/>
      <w:keepLines/>
      <w:numPr>
        <w:ilvl w:val="4"/>
        <w:numId w:val="1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81C2D"/>
    <w:pPr>
      <w:keepNext/>
      <w:keepLines/>
      <w:numPr>
        <w:ilvl w:val="5"/>
        <w:numId w:val="1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81C2D"/>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1C2D"/>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1C2D"/>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DF2"/>
    <w:pPr>
      <w:tabs>
        <w:tab w:val="center" w:pos="4513"/>
        <w:tab w:val="right" w:pos="9026"/>
      </w:tabs>
      <w:spacing w:after="0"/>
    </w:pPr>
  </w:style>
  <w:style w:type="character" w:customStyle="1" w:styleId="HeaderChar">
    <w:name w:val="Header Char"/>
    <w:basedOn w:val="DefaultParagraphFont"/>
    <w:link w:val="Header"/>
    <w:uiPriority w:val="99"/>
    <w:rsid w:val="00F23DF2"/>
  </w:style>
  <w:style w:type="paragraph" w:styleId="Footer">
    <w:name w:val="footer"/>
    <w:basedOn w:val="Normal"/>
    <w:link w:val="FooterChar"/>
    <w:uiPriority w:val="99"/>
    <w:unhideWhenUsed/>
    <w:rsid w:val="00F23DF2"/>
    <w:pPr>
      <w:tabs>
        <w:tab w:val="center" w:pos="4513"/>
        <w:tab w:val="right" w:pos="9026"/>
      </w:tabs>
      <w:spacing w:after="0"/>
    </w:pPr>
  </w:style>
  <w:style w:type="character" w:customStyle="1" w:styleId="FooterChar">
    <w:name w:val="Footer Char"/>
    <w:basedOn w:val="DefaultParagraphFont"/>
    <w:link w:val="Footer"/>
    <w:uiPriority w:val="99"/>
    <w:rsid w:val="00F23DF2"/>
  </w:style>
  <w:style w:type="paragraph" w:styleId="ListParagraph">
    <w:name w:val="List Paragraph"/>
    <w:basedOn w:val="Normal"/>
    <w:uiPriority w:val="34"/>
    <w:qFormat/>
    <w:rsid w:val="00F23DF2"/>
    <w:pPr>
      <w:ind w:left="720"/>
      <w:contextualSpacing/>
    </w:pPr>
  </w:style>
  <w:style w:type="paragraph" w:styleId="EndnoteText">
    <w:name w:val="endnote text"/>
    <w:basedOn w:val="Normal"/>
    <w:link w:val="EndnoteTextChar"/>
    <w:uiPriority w:val="99"/>
    <w:semiHidden/>
    <w:unhideWhenUsed/>
    <w:rsid w:val="002A302B"/>
    <w:pPr>
      <w:spacing w:after="0"/>
    </w:pPr>
    <w:rPr>
      <w:sz w:val="20"/>
      <w:szCs w:val="20"/>
    </w:rPr>
  </w:style>
  <w:style w:type="character" w:customStyle="1" w:styleId="EndnoteTextChar">
    <w:name w:val="Endnote Text Char"/>
    <w:basedOn w:val="DefaultParagraphFont"/>
    <w:link w:val="EndnoteText"/>
    <w:uiPriority w:val="99"/>
    <w:semiHidden/>
    <w:rsid w:val="002A302B"/>
    <w:rPr>
      <w:sz w:val="20"/>
      <w:szCs w:val="20"/>
    </w:rPr>
  </w:style>
  <w:style w:type="character" w:styleId="EndnoteReference">
    <w:name w:val="endnote reference"/>
    <w:basedOn w:val="DefaultParagraphFont"/>
    <w:uiPriority w:val="99"/>
    <w:semiHidden/>
    <w:unhideWhenUsed/>
    <w:rsid w:val="002A302B"/>
    <w:rPr>
      <w:vertAlign w:val="superscript"/>
    </w:rPr>
  </w:style>
  <w:style w:type="character" w:styleId="Hyperlink">
    <w:name w:val="Hyperlink"/>
    <w:basedOn w:val="DefaultParagraphFont"/>
    <w:uiPriority w:val="99"/>
    <w:unhideWhenUsed/>
    <w:rsid w:val="00AF40F5"/>
    <w:rPr>
      <w:color w:val="0000FF" w:themeColor="hyperlink"/>
      <w:u w:val="single"/>
    </w:rPr>
  </w:style>
  <w:style w:type="paragraph" w:styleId="BalloonText">
    <w:name w:val="Balloon Text"/>
    <w:basedOn w:val="Normal"/>
    <w:link w:val="BalloonTextChar"/>
    <w:uiPriority w:val="99"/>
    <w:semiHidden/>
    <w:unhideWhenUsed/>
    <w:rsid w:val="009C22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2B9"/>
    <w:rPr>
      <w:rFonts w:ascii="Tahoma" w:hAnsi="Tahoma" w:cs="Tahoma"/>
      <w:sz w:val="16"/>
      <w:szCs w:val="16"/>
    </w:rPr>
  </w:style>
  <w:style w:type="character" w:styleId="CommentReference">
    <w:name w:val="annotation reference"/>
    <w:basedOn w:val="DefaultParagraphFont"/>
    <w:uiPriority w:val="99"/>
    <w:semiHidden/>
    <w:unhideWhenUsed/>
    <w:rsid w:val="00F25A5C"/>
    <w:rPr>
      <w:sz w:val="16"/>
      <w:szCs w:val="16"/>
    </w:rPr>
  </w:style>
  <w:style w:type="paragraph" w:styleId="CommentText">
    <w:name w:val="annotation text"/>
    <w:basedOn w:val="Normal"/>
    <w:link w:val="CommentTextChar"/>
    <w:uiPriority w:val="99"/>
    <w:semiHidden/>
    <w:unhideWhenUsed/>
    <w:rsid w:val="00F25A5C"/>
    <w:rPr>
      <w:sz w:val="20"/>
      <w:szCs w:val="20"/>
    </w:rPr>
  </w:style>
  <w:style w:type="character" w:customStyle="1" w:styleId="CommentTextChar">
    <w:name w:val="Comment Text Char"/>
    <w:basedOn w:val="DefaultParagraphFont"/>
    <w:link w:val="CommentText"/>
    <w:uiPriority w:val="99"/>
    <w:semiHidden/>
    <w:rsid w:val="00F25A5C"/>
    <w:rPr>
      <w:sz w:val="20"/>
      <w:szCs w:val="20"/>
    </w:rPr>
  </w:style>
  <w:style w:type="paragraph" w:styleId="CommentSubject">
    <w:name w:val="annotation subject"/>
    <w:basedOn w:val="CommentText"/>
    <w:next w:val="CommentText"/>
    <w:link w:val="CommentSubjectChar"/>
    <w:uiPriority w:val="99"/>
    <w:semiHidden/>
    <w:unhideWhenUsed/>
    <w:rsid w:val="00F25A5C"/>
    <w:rPr>
      <w:b/>
      <w:bCs/>
    </w:rPr>
  </w:style>
  <w:style w:type="character" w:customStyle="1" w:styleId="CommentSubjectChar">
    <w:name w:val="Comment Subject Char"/>
    <w:basedOn w:val="CommentTextChar"/>
    <w:link w:val="CommentSubject"/>
    <w:uiPriority w:val="99"/>
    <w:semiHidden/>
    <w:rsid w:val="00F25A5C"/>
    <w:rPr>
      <w:b/>
      <w:bCs/>
      <w:sz w:val="20"/>
      <w:szCs w:val="20"/>
    </w:rPr>
  </w:style>
  <w:style w:type="paragraph" w:styleId="Revision">
    <w:name w:val="Revision"/>
    <w:hidden/>
    <w:uiPriority w:val="99"/>
    <w:semiHidden/>
    <w:rsid w:val="00DE14B3"/>
    <w:pPr>
      <w:spacing w:after="0"/>
    </w:pPr>
  </w:style>
  <w:style w:type="paragraph" w:styleId="NoSpacing">
    <w:name w:val="No Spacing"/>
    <w:uiPriority w:val="1"/>
    <w:qFormat/>
    <w:rsid w:val="00B97E0A"/>
    <w:pPr>
      <w:spacing w:after="0"/>
    </w:pPr>
  </w:style>
  <w:style w:type="character" w:customStyle="1" w:styleId="Heading1Char">
    <w:name w:val="Heading 1 Char"/>
    <w:basedOn w:val="DefaultParagraphFont"/>
    <w:link w:val="Heading1"/>
    <w:uiPriority w:val="9"/>
    <w:rsid w:val="00DD63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1C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81C2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81C2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81C2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81C2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81C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81C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81C2D"/>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67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buza.nl/ecer" TargetMode="External"/><Relationship Id="rId5" Type="http://schemas.openxmlformats.org/officeDocument/2006/relationships/settings" Target="settings.xml"/><Relationship Id="rId10" Type="http://schemas.openxmlformats.org/officeDocument/2006/relationships/hyperlink" Target="http://www.minbuza.nl/ecer" TargetMode="External"/><Relationship Id="rId4" Type="http://schemas.microsoft.com/office/2007/relationships/stylesWithEffects" Target="stylesWithEffects.xml"/><Relationship Id="rId9" Type="http://schemas.openxmlformats.org/officeDocument/2006/relationships/hyperlink" Target="mailto:icer-h-secr@minbuza.n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AFFCD-67AB-4E88-985B-293B1592F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F0BEE07F</Template>
  <TotalTime>1</TotalTime>
  <Pages>15</Pages>
  <Words>4391</Words>
  <Characters>24155</Characters>
  <Application>Microsoft Office Word</Application>
  <DocSecurity>0</DocSecurity>
  <Lines>201</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Ministerie van Buitenlandse Zaken</Company>
  <LinksUpToDate>false</LinksUpToDate>
  <CharactersWithSpaces>28490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dc:creator>
  <cp:lastModifiedBy>xxxxx</cp:lastModifiedBy>
  <cp:revision>3</cp:revision>
  <cp:lastPrinted>2013-04-26T13:16:00Z</cp:lastPrinted>
  <dcterms:created xsi:type="dcterms:W3CDTF">2015-02-25T07:58:00Z</dcterms:created>
  <dcterms:modified xsi:type="dcterms:W3CDTF">2015-02-25T07:59:00Z</dcterms:modified>
</cp:coreProperties>
</file>