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79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943"/>
      </w:tblGrid>
      <w:tr w:rsidR="003801D4" w:rsidTr="000D35D8">
        <w:tc>
          <w:tcPr>
            <w:tcW w:w="5778" w:type="dxa"/>
          </w:tcPr>
          <w:p w:rsidR="003801D4" w:rsidRPr="005F2CBC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bookmarkStart w:id="0" w:name="_GoBack"/>
            <w:bookmarkEnd w:id="0"/>
            <w:r w:rsidRPr="005F2CBC">
              <w:rPr>
                <w:b/>
              </w:rPr>
              <w:t>Ministerie van Buitenlandse Zaken</w:t>
            </w:r>
          </w:p>
          <w:p w:rsidR="003801D4" w:rsidRPr="005F2CBC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Directie Juridische Zaken</w:t>
            </w:r>
          </w:p>
          <w:p w:rsidR="003801D4" w:rsidRPr="005F2CBC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Afdeling Europees Recht</w:t>
            </w:r>
          </w:p>
          <w:p w:rsidR="003801D4" w:rsidRPr="005F2CBC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Postbus 20061</w:t>
            </w:r>
          </w:p>
          <w:p w:rsidR="003801D4" w:rsidRPr="005F2CBC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2500 EB Den Haag</w:t>
            </w:r>
          </w:p>
          <w:p w:rsidR="003801D4" w:rsidRDefault="003801D4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 w:rsidRPr="005F2CBC">
              <w:rPr>
                <w:b/>
              </w:rPr>
              <w:t>Nederland</w:t>
            </w:r>
            <w:r>
              <w:rPr>
                <w:b/>
                <w:bCs/>
              </w:rPr>
              <w:t xml:space="preserve"> </w:t>
            </w:r>
          </w:p>
          <w:p w:rsidR="003801D4" w:rsidRDefault="003801D4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</w:p>
          <w:p w:rsidR="003801D4" w:rsidRDefault="003801D4" w:rsidP="000D35D8">
            <w:pPr>
              <w:autoSpaceDE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Kenmerk: MINBUZA-</w:t>
            </w:r>
            <w:proofErr w:type="spellStart"/>
            <w:r>
              <w:rPr>
                <w:b/>
                <w:bCs/>
              </w:rPr>
              <w:t>jaartal.XXX</w:t>
            </w:r>
            <w:proofErr w:type="spellEnd"/>
          </w:p>
          <w:p w:rsidR="003801D4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</w:pPr>
          </w:p>
        </w:tc>
        <w:tc>
          <w:tcPr>
            <w:tcW w:w="2943" w:type="dxa"/>
          </w:tcPr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</w:p>
          <w:p w:rsidR="003801D4" w:rsidRDefault="003801D4" w:rsidP="000D35D8">
            <w:pPr>
              <w:widowControl w:val="0"/>
              <w:tabs>
                <w:tab w:val="left" w:pos="204"/>
              </w:tabs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Aan:</w:t>
            </w:r>
          </w:p>
          <w:p w:rsidR="003801D4" w:rsidRPr="005F2CBC" w:rsidRDefault="003801D4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het Hof van Justitie van de</w:t>
            </w:r>
            <w:r>
              <w:rPr>
                <w:b/>
              </w:rPr>
              <w:t xml:space="preserve"> </w:t>
            </w:r>
            <w:r w:rsidRPr="005F2CBC">
              <w:rPr>
                <w:b/>
              </w:rPr>
              <w:t>Europese Unie</w:t>
            </w:r>
          </w:p>
          <w:p w:rsidR="003801D4" w:rsidRPr="005F2CBC" w:rsidRDefault="003801D4" w:rsidP="000D35D8">
            <w:pPr>
              <w:widowControl w:val="0"/>
              <w:spacing w:line="360" w:lineRule="auto"/>
              <w:jc w:val="both"/>
              <w:rPr>
                <w:b/>
              </w:rPr>
            </w:pPr>
            <w:r w:rsidRPr="005F2CBC">
              <w:rPr>
                <w:b/>
              </w:rPr>
              <w:t>te Luxemburg</w:t>
            </w:r>
          </w:p>
          <w:p w:rsidR="003801D4" w:rsidRDefault="003801D4" w:rsidP="000D35D8">
            <w:pPr>
              <w:widowControl w:val="0"/>
              <w:tabs>
                <w:tab w:val="left" w:pos="204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FE4ACA" w:rsidRDefault="00FE4ACA" w:rsidP="00B849A7">
      <w:pPr>
        <w:pStyle w:val="Heading1"/>
        <w:tabs>
          <w:tab w:val="clear" w:pos="0"/>
        </w:tabs>
        <w:jc w:val="center"/>
        <w:rPr>
          <w:szCs w:val="24"/>
          <w:lang w:val="nl-NL"/>
        </w:rPr>
      </w:pPr>
    </w:p>
    <w:p w:rsidR="00FE4ACA" w:rsidRPr="005333C7" w:rsidRDefault="00FE4ACA" w:rsidP="00B849A7">
      <w:pPr>
        <w:pStyle w:val="Heading1"/>
        <w:tabs>
          <w:tab w:val="clear" w:pos="0"/>
        </w:tabs>
        <w:jc w:val="center"/>
        <w:rPr>
          <w:szCs w:val="24"/>
          <w:lang w:val="nl-NL"/>
        </w:rPr>
      </w:pPr>
      <w:r w:rsidRPr="005333C7">
        <w:rPr>
          <w:szCs w:val="24"/>
          <w:lang w:val="nl-NL"/>
        </w:rPr>
        <w:t>VERWEERSCHRIFT</w:t>
      </w:r>
    </w:p>
    <w:p w:rsidR="00FE4ACA" w:rsidRDefault="00FE4ACA" w:rsidP="00B849A7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ingediend</w:t>
      </w:r>
      <w:proofErr w:type="gramEnd"/>
      <w:r>
        <w:rPr>
          <w:sz w:val="24"/>
          <w:szCs w:val="24"/>
        </w:rPr>
        <w:t xml:space="preserve"> door </w:t>
      </w:r>
    </w:p>
    <w:p w:rsidR="00FE4ACA" w:rsidRDefault="00FE4ACA" w:rsidP="00B849A7">
      <w:pPr>
        <w:spacing w:line="360" w:lineRule="auto"/>
        <w:jc w:val="center"/>
        <w:rPr>
          <w:sz w:val="24"/>
          <w:szCs w:val="24"/>
        </w:rPr>
      </w:pPr>
    </w:p>
    <w:p w:rsidR="00FE4ACA" w:rsidRDefault="00FE4ACA" w:rsidP="00B849A7">
      <w:pPr>
        <w:pStyle w:val="Heading5"/>
        <w:tabs>
          <w:tab w:val="clear" w:pos="0"/>
        </w:tabs>
        <w:ind w:left="0" w:firstLine="0"/>
        <w:rPr>
          <w:szCs w:val="24"/>
        </w:rPr>
      </w:pPr>
      <w:r>
        <w:rPr>
          <w:szCs w:val="24"/>
        </w:rPr>
        <w:t>het Koninkrijk der Nederlanden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vertegenwoordigd</w:t>
      </w:r>
      <w:proofErr w:type="gramEnd"/>
      <w:r>
        <w:rPr>
          <w:sz w:val="24"/>
          <w:szCs w:val="24"/>
        </w:rPr>
        <w:t xml:space="preserve"> door </w:t>
      </w:r>
      <w:r w:rsidR="001C57DB">
        <w:rPr>
          <w:sz w:val="24"/>
          <w:szCs w:val="24"/>
        </w:rPr>
        <w:t>Mielle Bulterman</w:t>
      </w:r>
      <w:r>
        <w:rPr>
          <w:sz w:val="24"/>
          <w:szCs w:val="24"/>
        </w:rPr>
        <w:t xml:space="preserve"> en </w:t>
      </w:r>
      <w:r w:rsidR="00DF62E6" w:rsidRPr="00754216">
        <w:rPr>
          <w:b/>
          <w:sz w:val="24"/>
          <w:szCs w:val="24"/>
        </w:rPr>
        <w:t>[</w:t>
      </w:r>
      <w:r w:rsidR="00754216" w:rsidRPr="00754216">
        <w:rPr>
          <w:b/>
          <w:sz w:val="24"/>
          <w:szCs w:val="24"/>
        </w:rPr>
        <w:t>n</w:t>
      </w:r>
      <w:r w:rsidR="00DF62E6" w:rsidRPr="00754216">
        <w:rPr>
          <w:b/>
          <w:sz w:val="24"/>
          <w:szCs w:val="24"/>
        </w:rPr>
        <w:t>aam medewerker]</w:t>
      </w:r>
      <w:r>
        <w:rPr>
          <w:sz w:val="24"/>
          <w:szCs w:val="24"/>
        </w:rPr>
        <w:t xml:space="preserve">, hoofd respectievelijk medewerker van de Afdeling Europees recht van het Ministerie van Buitenlandse Zaken te </w:t>
      </w:r>
      <w:r w:rsidR="00754216">
        <w:rPr>
          <w:sz w:val="24"/>
          <w:szCs w:val="24"/>
        </w:rPr>
        <w:t>Den Haag</w:t>
      </w:r>
      <w:r>
        <w:rPr>
          <w:sz w:val="24"/>
          <w:szCs w:val="24"/>
        </w:rPr>
        <w:t xml:space="preserve">, 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</w:t>
      </w:r>
      <w:proofErr w:type="gramEnd"/>
      <w:r>
        <w:rPr>
          <w:b/>
          <w:sz w:val="24"/>
          <w:szCs w:val="24"/>
        </w:rPr>
        <w:t xml:space="preserve"> zaak </w:t>
      </w:r>
      <w:r w:rsidR="00DF62E6">
        <w:rPr>
          <w:b/>
          <w:sz w:val="24"/>
          <w:szCs w:val="24"/>
        </w:rPr>
        <w:t>[</w:t>
      </w:r>
      <w:r w:rsidR="00754216">
        <w:rPr>
          <w:b/>
          <w:sz w:val="24"/>
          <w:szCs w:val="24"/>
        </w:rPr>
        <w:t>z</w:t>
      </w:r>
      <w:r w:rsidR="00DF62E6">
        <w:rPr>
          <w:b/>
          <w:sz w:val="24"/>
          <w:szCs w:val="24"/>
        </w:rPr>
        <w:t>aaknummer]</w:t>
      </w:r>
    </w:p>
    <w:p w:rsidR="00FE4ACA" w:rsidRDefault="00FE4ACA" w:rsidP="00B849A7">
      <w:pPr>
        <w:spacing w:line="360" w:lineRule="auto"/>
        <w:jc w:val="center"/>
        <w:rPr>
          <w:b/>
          <w:sz w:val="24"/>
          <w:szCs w:val="24"/>
        </w:rPr>
      </w:pPr>
    </w:p>
    <w:p w:rsidR="00FE4ACA" w:rsidRDefault="00FE4ACA" w:rsidP="00B849A7">
      <w:pPr>
        <w:pStyle w:val="Heading2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DE EUROPESE </w:t>
      </w:r>
      <w:smartTag w:uri="urn:schemas-microsoft-com:office:smarttags" w:element="PersonName">
        <w:r>
          <w:rPr>
            <w:b/>
            <w:i w:val="0"/>
            <w:sz w:val="24"/>
            <w:szCs w:val="24"/>
          </w:rPr>
          <w:t>COM</w:t>
        </w:r>
      </w:smartTag>
      <w:r>
        <w:rPr>
          <w:b/>
          <w:i w:val="0"/>
          <w:sz w:val="24"/>
          <w:szCs w:val="24"/>
        </w:rPr>
        <w:t>MISSIE</w:t>
      </w:r>
    </w:p>
    <w:p w:rsidR="00FE4ACA" w:rsidRDefault="00FE4ACA" w:rsidP="00B849A7">
      <w:pPr>
        <w:spacing w:line="360" w:lineRule="auto"/>
        <w:jc w:val="center"/>
        <w:rPr>
          <w:i/>
          <w:sz w:val="24"/>
          <w:szCs w:val="24"/>
        </w:rPr>
      </w:pPr>
    </w:p>
    <w:p w:rsidR="00FE4ACA" w:rsidRDefault="00FE4ACA" w:rsidP="00B849A7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tegen</w:t>
      </w:r>
    </w:p>
    <w:p w:rsidR="00FE4ACA" w:rsidRDefault="00FE4ACA" w:rsidP="00B849A7">
      <w:pPr>
        <w:spacing w:line="360" w:lineRule="auto"/>
        <w:jc w:val="center"/>
        <w:rPr>
          <w:b/>
          <w:sz w:val="24"/>
          <w:szCs w:val="24"/>
        </w:rPr>
      </w:pPr>
    </w:p>
    <w:p w:rsidR="00754216" w:rsidRDefault="00FE4ACA" w:rsidP="0075421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HET KONINKRIJK DER NEDERLANDEN</w:t>
      </w:r>
    </w:p>
    <w:p w:rsidR="00754216" w:rsidRDefault="00754216" w:rsidP="00754216">
      <w:pPr>
        <w:spacing w:line="360" w:lineRule="auto"/>
        <w:jc w:val="center"/>
        <w:rPr>
          <w:b/>
          <w:sz w:val="24"/>
          <w:szCs w:val="24"/>
        </w:rPr>
      </w:pPr>
    </w:p>
    <w:p w:rsidR="00FE4ACA" w:rsidRDefault="00754216" w:rsidP="0075421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FE4ACA">
        <w:rPr>
          <w:sz w:val="24"/>
          <w:szCs w:val="24"/>
        </w:rPr>
        <w:t xml:space="preserve">etreffende het verzoek van de Commissie strekkende tot vaststelling dat </w:t>
      </w:r>
      <w:r w:rsidR="007A04E2" w:rsidRPr="00754216">
        <w:rPr>
          <w:b/>
          <w:sz w:val="24"/>
          <w:szCs w:val="24"/>
        </w:rPr>
        <w:t>[</w:t>
      </w:r>
      <w:r w:rsidRPr="00754216">
        <w:rPr>
          <w:b/>
          <w:sz w:val="24"/>
          <w:szCs w:val="24"/>
        </w:rPr>
        <w:t>opnemen welke EU-regeling/bepaling geschonden zou zijn. Zie verzoekschrift van de Commissie]</w:t>
      </w:r>
      <w:r>
        <w:rPr>
          <w:sz w:val="24"/>
          <w:szCs w:val="24"/>
        </w:rPr>
        <w:t>.</w:t>
      </w:r>
    </w:p>
    <w:p w:rsidR="00FE4ACA" w:rsidRDefault="00FE4ACA" w:rsidP="00B849A7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</w:p>
    <w:p w:rsidR="00FE4ACA" w:rsidRPr="0043739C" w:rsidRDefault="00FE4ACA" w:rsidP="0043739C"/>
    <w:p w:rsidR="00FE4ACA" w:rsidRDefault="00FE4ACA" w:rsidP="00B849A7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  <w:t>INLEIDING</w:t>
      </w:r>
    </w:p>
    <w:p w:rsidR="00FE4ACA" w:rsidRDefault="00FE4ACA" w:rsidP="00B849A7">
      <w:pPr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Bij verzoekschrift van </w:t>
      </w:r>
      <w:r w:rsidR="007A04E2" w:rsidRPr="00754216">
        <w:rPr>
          <w:b/>
          <w:sz w:val="24"/>
          <w:szCs w:val="24"/>
        </w:rPr>
        <w:t>[datum]</w:t>
      </w:r>
      <w:r w:rsidR="007A0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(hierna: het </w:t>
      </w:r>
      <w:r w:rsidR="00754216">
        <w:rPr>
          <w:sz w:val="24"/>
          <w:szCs w:val="24"/>
        </w:rPr>
        <w:t>‘</w:t>
      </w:r>
      <w:r>
        <w:rPr>
          <w:sz w:val="24"/>
          <w:szCs w:val="24"/>
        </w:rPr>
        <w:t>verzoekschrift’) heeft de Commissie het Hof krachtens artikel 258</w:t>
      </w:r>
      <w:r w:rsidR="007542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VWEU verzocht vast te stellen dat </w:t>
      </w:r>
      <w:r w:rsidR="00754216">
        <w:rPr>
          <w:sz w:val="24"/>
          <w:szCs w:val="24"/>
        </w:rPr>
        <w:t xml:space="preserve">Nederland niet </w:t>
      </w:r>
      <w:r>
        <w:rPr>
          <w:sz w:val="24"/>
          <w:szCs w:val="24"/>
        </w:rPr>
        <w:t xml:space="preserve">aan </w:t>
      </w:r>
      <w:r w:rsidR="00754216">
        <w:rPr>
          <w:sz w:val="24"/>
          <w:szCs w:val="24"/>
        </w:rPr>
        <w:t xml:space="preserve">zijn </w:t>
      </w:r>
      <w:r>
        <w:rPr>
          <w:sz w:val="24"/>
          <w:szCs w:val="24"/>
        </w:rPr>
        <w:t>verplichtingen</w:t>
      </w:r>
      <w:r w:rsidR="00754216">
        <w:rPr>
          <w:sz w:val="24"/>
          <w:szCs w:val="24"/>
        </w:rPr>
        <w:t xml:space="preserve"> die voortvloeien uit </w:t>
      </w:r>
      <w:r w:rsidR="007A04E2" w:rsidRPr="00754216">
        <w:rPr>
          <w:b/>
          <w:sz w:val="24"/>
          <w:szCs w:val="24"/>
        </w:rPr>
        <w:t>[</w:t>
      </w:r>
      <w:r w:rsidR="00754216">
        <w:rPr>
          <w:b/>
          <w:sz w:val="24"/>
          <w:szCs w:val="24"/>
        </w:rPr>
        <w:t xml:space="preserve">opnemen EU-regeling/bepaling] </w:t>
      </w:r>
      <w:r w:rsidR="00754216">
        <w:rPr>
          <w:sz w:val="24"/>
          <w:szCs w:val="24"/>
        </w:rPr>
        <w:t xml:space="preserve">heeft voldaan.  </w:t>
      </w:r>
    </w:p>
    <w:p w:rsidR="00FE4ACA" w:rsidRDefault="00FE4ACA" w:rsidP="00B849A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bezwaren van de Commissie betreffen </w:t>
      </w:r>
      <w:r w:rsidR="007A04E2" w:rsidRPr="00754216">
        <w:rPr>
          <w:b/>
          <w:sz w:val="24"/>
          <w:szCs w:val="24"/>
        </w:rPr>
        <w:t>[</w:t>
      </w:r>
      <w:r w:rsidR="00754216" w:rsidRPr="00754216">
        <w:rPr>
          <w:b/>
          <w:sz w:val="24"/>
          <w:szCs w:val="24"/>
        </w:rPr>
        <w:t>uitschrijven op basis van het verzoekschrift van de Commissie]</w:t>
      </w:r>
      <w:r w:rsidR="00754216">
        <w:rPr>
          <w:sz w:val="24"/>
          <w:szCs w:val="24"/>
        </w:rPr>
        <w:t>.</w:t>
      </w:r>
    </w:p>
    <w:p w:rsidR="00FE4ACA" w:rsidRDefault="00FE4ACA" w:rsidP="00B849A7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Nederlandse regering concludeert tot afwijzing van het verzoekschrift van de Commissie. </w:t>
      </w:r>
    </w:p>
    <w:p w:rsidR="00754216" w:rsidRDefault="00754216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II.</w:t>
      </w:r>
      <w:r w:rsidRPr="00350982">
        <w:rPr>
          <w:sz w:val="24"/>
          <w:szCs w:val="24"/>
        </w:rPr>
        <w:tab/>
        <w:t xml:space="preserve">JURIDISCH KADER </w:t>
      </w: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Recht van de Europese Unie</w:t>
      </w: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Nederlandse regering sluit aan bij de beschrijving van het Unierechtelijk kader in punten </w:t>
      </w:r>
      <w:r w:rsidR="007A04E2" w:rsidRPr="00754216">
        <w:rPr>
          <w:b/>
          <w:sz w:val="24"/>
          <w:szCs w:val="24"/>
        </w:rPr>
        <w:t>[</w:t>
      </w:r>
      <w:r w:rsidR="00754216">
        <w:rPr>
          <w:b/>
          <w:sz w:val="24"/>
          <w:szCs w:val="24"/>
        </w:rPr>
        <w:t xml:space="preserve">** </w:t>
      </w:r>
      <w:r w:rsidR="007A04E2" w:rsidRPr="00754216">
        <w:rPr>
          <w:b/>
          <w:sz w:val="24"/>
          <w:szCs w:val="24"/>
        </w:rPr>
        <w:t>-</w:t>
      </w:r>
      <w:r w:rsidR="00754216">
        <w:rPr>
          <w:b/>
          <w:sz w:val="24"/>
          <w:szCs w:val="24"/>
        </w:rPr>
        <w:t xml:space="preserve"> **</w:t>
      </w:r>
      <w:r w:rsidR="007A04E2" w:rsidRPr="00754216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van het verzoekschrift</w:t>
      </w:r>
      <w:r w:rsidR="00754216">
        <w:rPr>
          <w:sz w:val="24"/>
          <w:szCs w:val="24"/>
        </w:rPr>
        <w:t xml:space="preserve"> van de Commissie</w:t>
      </w:r>
      <w:r>
        <w:rPr>
          <w:sz w:val="24"/>
          <w:szCs w:val="24"/>
        </w:rPr>
        <w:t>.</w:t>
      </w:r>
      <w:r w:rsidR="007A04E2">
        <w:rPr>
          <w:sz w:val="24"/>
          <w:szCs w:val="24"/>
        </w:rPr>
        <w:t xml:space="preserve"> </w:t>
      </w:r>
      <w:r w:rsidR="007A04E2" w:rsidRPr="00754216">
        <w:rPr>
          <w:b/>
          <w:sz w:val="24"/>
          <w:szCs w:val="24"/>
        </w:rPr>
        <w:t>[</w:t>
      </w:r>
      <w:r w:rsidR="00754216">
        <w:rPr>
          <w:b/>
          <w:sz w:val="24"/>
          <w:szCs w:val="24"/>
        </w:rPr>
        <w:t xml:space="preserve">Een korte verwijzing </w:t>
      </w:r>
      <w:r w:rsidR="007A04E2" w:rsidRPr="00754216">
        <w:rPr>
          <w:b/>
          <w:sz w:val="24"/>
          <w:szCs w:val="24"/>
        </w:rPr>
        <w:t xml:space="preserve">naar het </w:t>
      </w:r>
      <w:r w:rsidR="00754216">
        <w:rPr>
          <w:b/>
          <w:sz w:val="24"/>
          <w:szCs w:val="24"/>
        </w:rPr>
        <w:t xml:space="preserve">juridisch </w:t>
      </w:r>
      <w:r w:rsidR="007A04E2" w:rsidRPr="00754216">
        <w:rPr>
          <w:b/>
          <w:sz w:val="24"/>
          <w:szCs w:val="24"/>
        </w:rPr>
        <w:t xml:space="preserve">kader </w:t>
      </w:r>
      <w:r w:rsidR="00754216">
        <w:rPr>
          <w:b/>
          <w:sz w:val="24"/>
          <w:szCs w:val="24"/>
        </w:rPr>
        <w:t>in h</w:t>
      </w:r>
      <w:r w:rsidR="007A04E2" w:rsidRPr="00754216">
        <w:rPr>
          <w:b/>
          <w:sz w:val="24"/>
          <w:szCs w:val="24"/>
        </w:rPr>
        <w:t>e</w:t>
      </w:r>
      <w:r w:rsidR="0018554C" w:rsidRPr="00754216">
        <w:rPr>
          <w:b/>
          <w:sz w:val="24"/>
          <w:szCs w:val="24"/>
        </w:rPr>
        <w:t>t verzoekschrift</w:t>
      </w:r>
      <w:r w:rsidR="00754216">
        <w:rPr>
          <w:b/>
          <w:sz w:val="24"/>
          <w:szCs w:val="24"/>
        </w:rPr>
        <w:t xml:space="preserve"> is vaak voldoende</w:t>
      </w:r>
      <w:r w:rsidR="0018554C" w:rsidRPr="00754216">
        <w:rPr>
          <w:b/>
          <w:sz w:val="24"/>
          <w:szCs w:val="24"/>
        </w:rPr>
        <w:t>.</w:t>
      </w:r>
      <w:r w:rsidR="00754216">
        <w:rPr>
          <w:b/>
          <w:sz w:val="24"/>
          <w:szCs w:val="24"/>
        </w:rPr>
        <w:t xml:space="preserve"> </w:t>
      </w:r>
      <w:r w:rsidR="0018554C" w:rsidRPr="00754216">
        <w:rPr>
          <w:b/>
          <w:sz w:val="24"/>
          <w:szCs w:val="24"/>
        </w:rPr>
        <w:t xml:space="preserve">Als dat niet </w:t>
      </w:r>
      <w:r w:rsidR="007A04E2" w:rsidRPr="00754216">
        <w:rPr>
          <w:b/>
          <w:sz w:val="24"/>
          <w:szCs w:val="24"/>
        </w:rPr>
        <w:t>het geval is</w:t>
      </w:r>
      <w:r w:rsidR="00754216">
        <w:rPr>
          <w:b/>
          <w:sz w:val="24"/>
          <w:szCs w:val="24"/>
        </w:rPr>
        <w:t xml:space="preserve">, </w:t>
      </w:r>
      <w:r w:rsidR="007A04E2" w:rsidRPr="00754216">
        <w:rPr>
          <w:b/>
          <w:sz w:val="24"/>
          <w:szCs w:val="24"/>
        </w:rPr>
        <w:t>dan de letterli</w:t>
      </w:r>
      <w:r w:rsidR="0018554C" w:rsidRPr="00754216">
        <w:rPr>
          <w:b/>
          <w:sz w:val="24"/>
          <w:szCs w:val="24"/>
        </w:rPr>
        <w:t>jke teksten van de betrokken bep</w:t>
      </w:r>
      <w:r w:rsidR="007A04E2" w:rsidRPr="00754216">
        <w:rPr>
          <w:b/>
          <w:sz w:val="24"/>
          <w:szCs w:val="24"/>
        </w:rPr>
        <w:t>a</w:t>
      </w:r>
      <w:r w:rsidR="0018554C" w:rsidRPr="00754216">
        <w:rPr>
          <w:b/>
          <w:sz w:val="24"/>
          <w:szCs w:val="24"/>
        </w:rPr>
        <w:t>l</w:t>
      </w:r>
      <w:r w:rsidR="007A04E2" w:rsidRPr="00754216">
        <w:rPr>
          <w:b/>
          <w:sz w:val="24"/>
          <w:szCs w:val="24"/>
        </w:rPr>
        <w:t>ingen</w:t>
      </w:r>
      <w:r w:rsidR="00754216">
        <w:rPr>
          <w:b/>
          <w:sz w:val="24"/>
          <w:szCs w:val="24"/>
        </w:rPr>
        <w:t xml:space="preserve"> opnemen in de tekst.</w:t>
      </w:r>
      <w:r w:rsidR="0018554C" w:rsidRPr="00754216">
        <w:rPr>
          <w:b/>
          <w:sz w:val="24"/>
          <w:szCs w:val="24"/>
        </w:rPr>
        <w:t>]</w:t>
      </w:r>
      <w:r w:rsidR="007A04E2">
        <w:rPr>
          <w:sz w:val="24"/>
          <w:szCs w:val="24"/>
        </w:rPr>
        <w:t xml:space="preserve"> </w:t>
      </w:r>
    </w:p>
    <w:p w:rsidR="00FE4ACA" w:rsidRDefault="00FE4ACA" w:rsidP="00B849A7">
      <w:pPr>
        <w:tabs>
          <w:tab w:val="left" w:pos="567"/>
        </w:tabs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Default="00FE4ACA" w:rsidP="00B849A7">
      <w:pPr>
        <w:tabs>
          <w:tab w:val="left" w:pos="567"/>
        </w:tabs>
        <w:suppressAutoHyphens w:val="0"/>
        <w:autoSpaceDE w:val="0"/>
        <w:spacing w:line="360" w:lineRule="auto"/>
        <w:ind w:left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Nationaal recht</w:t>
      </w:r>
    </w:p>
    <w:p w:rsidR="00FE4ACA" w:rsidRDefault="00FE4ACA" w:rsidP="00B849A7">
      <w:pPr>
        <w:tabs>
          <w:tab w:val="left" w:pos="567"/>
        </w:tabs>
        <w:suppressAutoHyphens w:val="0"/>
        <w:autoSpaceDE w:val="0"/>
        <w:spacing w:line="360" w:lineRule="auto"/>
        <w:jc w:val="both"/>
        <w:rPr>
          <w:sz w:val="24"/>
          <w:szCs w:val="24"/>
        </w:rPr>
      </w:pPr>
    </w:p>
    <w:p w:rsidR="0018554C" w:rsidRPr="00754216" w:rsidRDefault="0018554C" w:rsidP="0018554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b/>
          <w:sz w:val="24"/>
          <w:szCs w:val="24"/>
        </w:rPr>
      </w:pPr>
      <w:r w:rsidRPr="00754216">
        <w:rPr>
          <w:b/>
          <w:sz w:val="24"/>
          <w:szCs w:val="24"/>
        </w:rPr>
        <w:t>[</w:t>
      </w:r>
      <w:r w:rsidR="00754216">
        <w:rPr>
          <w:b/>
          <w:sz w:val="24"/>
          <w:szCs w:val="24"/>
        </w:rPr>
        <w:t xml:space="preserve">Vermeld hier het toepasselijke nationale </w:t>
      </w:r>
      <w:r w:rsidRPr="00754216">
        <w:rPr>
          <w:b/>
          <w:sz w:val="24"/>
          <w:szCs w:val="24"/>
        </w:rPr>
        <w:t>recht</w:t>
      </w:r>
      <w:r w:rsidR="00754216">
        <w:rPr>
          <w:b/>
          <w:sz w:val="24"/>
          <w:szCs w:val="24"/>
        </w:rPr>
        <w:t xml:space="preserve">, </w:t>
      </w:r>
      <w:r w:rsidRPr="00754216">
        <w:rPr>
          <w:b/>
          <w:sz w:val="24"/>
          <w:szCs w:val="24"/>
        </w:rPr>
        <w:t xml:space="preserve">eventueel </w:t>
      </w:r>
      <w:r w:rsidR="00754216">
        <w:rPr>
          <w:b/>
          <w:sz w:val="24"/>
          <w:szCs w:val="24"/>
        </w:rPr>
        <w:t xml:space="preserve">met </w:t>
      </w:r>
      <w:r w:rsidRPr="00754216">
        <w:rPr>
          <w:b/>
          <w:sz w:val="24"/>
          <w:szCs w:val="24"/>
        </w:rPr>
        <w:t xml:space="preserve">een zakelijke toelichting. Het is </w:t>
      </w:r>
      <w:r w:rsidRPr="00754216">
        <w:rPr>
          <w:b/>
          <w:sz w:val="24"/>
          <w:szCs w:val="24"/>
          <w:u w:val="single"/>
        </w:rPr>
        <w:t>niet</w:t>
      </w:r>
      <w:r w:rsidRPr="00754216">
        <w:rPr>
          <w:b/>
          <w:sz w:val="24"/>
          <w:szCs w:val="24"/>
        </w:rPr>
        <w:t xml:space="preserve"> de bedoeling dat </w:t>
      </w:r>
      <w:r w:rsidR="00754216">
        <w:rPr>
          <w:b/>
          <w:sz w:val="24"/>
          <w:szCs w:val="24"/>
        </w:rPr>
        <w:t>onder dit kopje argumenten naar voren worden gebracht.</w:t>
      </w:r>
      <w:r w:rsidRPr="00754216">
        <w:rPr>
          <w:b/>
          <w:sz w:val="24"/>
          <w:szCs w:val="24"/>
        </w:rPr>
        <w:t>]</w:t>
      </w:r>
    </w:p>
    <w:p w:rsidR="00FE4ACA" w:rsidRPr="0043739C" w:rsidRDefault="00FE4ACA" w:rsidP="0043739C"/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lastRenderedPageBreak/>
        <w:t xml:space="preserve">III. </w:t>
      </w:r>
      <w:r w:rsidRPr="00350982">
        <w:rPr>
          <w:sz w:val="24"/>
          <w:szCs w:val="24"/>
        </w:rPr>
        <w:tab/>
        <w:t>FEITEN</w:t>
      </w:r>
    </w:p>
    <w:p w:rsidR="00FE4ACA" w:rsidRDefault="00FE4ACA" w:rsidP="00B849A7"/>
    <w:p w:rsidR="00BA607C" w:rsidRDefault="00BA607C" w:rsidP="00BA607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Voor de relevante feiten en een beschrijving van het procesverloop verwijst de Nederlandse regering naar punten </w:t>
      </w:r>
      <w:r w:rsidRPr="00754216">
        <w:rPr>
          <w:b/>
          <w:sz w:val="24"/>
          <w:szCs w:val="24"/>
        </w:rPr>
        <w:t>[</w:t>
      </w:r>
      <w:r>
        <w:rPr>
          <w:b/>
          <w:sz w:val="24"/>
          <w:szCs w:val="24"/>
        </w:rPr>
        <w:t xml:space="preserve">** </w:t>
      </w:r>
      <w:r w:rsidRPr="0075421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**</w:t>
      </w:r>
      <w:r w:rsidRPr="00754216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van het verzoekschrift van de Commissie. </w:t>
      </w:r>
      <w:r w:rsidRPr="00754216">
        <w:rPr>
          <w:b/>
          <w:sz w:val="24"/>
          <w:szCs w:val="24"/>
        </w:rPr>
        <w:t>[</w:t>
      </w:r>
      <w:r>
        <w:rPr>
          <w:b/>
          <w:sz w:val="24"/>
          <w:szCs w:val="24"/>
        </w:rPr>
        <w:t xml:space="preserve">Een korte verwijzing </w:t>
      </w:r>
      <w:r w:rsidRPr="00754216">
        <w:rPr>
          <w:b/>
          <w:sz w:val="24"/>
          <w:szCs w:val="24"/>
        </w:rPr>
        <w:t xml:space="preserve">naar </w:t>
      </w:r>
      <w:r>
        <w:rPr>
          <w:b/>
          <w:sz w:val="24"/>
          <w:szCs w:val="24"/>
        </w:rPr>
        <w:t>h</w:t>
      </w:r>
      <w:r w:rsidRPr="00754216">
        <w:rPr>
          <w:b/>
          <w:sz w:val="24"/>
          <w:szCs w:val="24"/>
        </w:rPr>
        <w:t>et verzoekschrift</w:t>
      </w:r>
      <w:r>
        <w:rPr>
          <w:b/>
          <w:sz w:val="24"/>
          <w:szCs w:val="24"/>
        </w:rPr>
        <w:t xml:space="preserve"> is voldoende, tenzij het nuttig en/of noodzakelijk is aanvullende feiten/omstandigheden naar voren te brengen.</w:t>
      </w:r>
      <w:r w:rsidRPr="00754216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</w:p>
    <w:p w:rsidR="00BA607C" w:rsidRDefault="00BA607C" w:rsidP="00BA607C">
      <w:pPr>
        <w:tabs>
          <w:tab w:val="left" w:pos="567"/>
        </w:tabs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VI.</w:t>
      </w:r>
      <w:r w:rsidRPr="00350982">
        <w:rPr>
          <w:sz w:val="24"/>
          <w:szCs w:val="24"/>
        </w:rPr>
        <w:tab/>
        <w:t>PRECONTENTIEUZE FASE</w:t>
      </w: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b/>
          <w:bCs/>
          <w:sz w:val="24"/>
          <w:szCs w:val="24"/>
        </w:rPr>
      </w:pPr>
    </w:p>
    <w:p w:rsidR="00FE4ACA" w:rsidRDefault="00BA607C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</w:pPr>
      <w:r w:rsidRPr="00BA607C">
        <w:rPr>
          <w:sz w:val="24"/>
          <w:szCs w:val="24"/>
        </w:rPr>
        <w:t xml:space="preserve">De Nederlandse regering sluit aan bij de beschrijving van de </w:t>
      </w:r>
      <w:proofErr w:type="spellStart"/>
      <w:r w:rsidRPr="00BA607C">
        <w:rPr>
          <w:sz w:val="24"/>
          <w:szCs w:val="24"/>
        </w:rPr>
        <w:t>precontentieuze</w:t>
      </w:r>
      <w:proofErr w:type="spellEnd"/>
      <w:r w:rsidRPr="00BA607C">
        <w:rPr>
          <w:sz w:val="24"/>
          <w:szCs w:val="24"/>
        </w:rPr>
        <w:t xml:space="preserve"> procedure in punten </w:t>
      </w:r>
      <w:r w:rsidRPr="00BA607C">
        <w:rPr>
          <w:b/>
          <w:sz w:val="24"/>
          <w:szCs w:val="24"/>
        </w:rPr>
        <w:t xml:space="preserve">[** - **] </w:t>
      </w:r>
      <w:r w:rsidRPr="00BA607C">
        <w:rPr>
          <w:sz w:val="24"/>
          <w:szCs w:val="24"/>
        </w:rPr>
        <w:t>van het verzoekschrift van de Commissie.</w:t>
      </w:r>
      <w:r>
        <w:rPr>
          <w:sz w:val="24"/>
          <w:szCs w:val="24"/>
        </w:rPr>
        <w:t xml:space="preserve"> </w:t>
      </w:r>
      <w:r w:rsidRPr="00BA607C">
        <w:rPr>
          <w:b/>
          <w:sz w:val="24"/>
          <w:szCs w:val="24"/>
        </w:rPr>
        <w:t>[Een korte verwijzing naar het verzoekschrift is voldoende, tenzij het nuttig en/of noodzakelijk is aanvullende feiten/omstandigheden naar voren te brengen.]</w:t>
      </w:r>
      <w:r w:rsidRPr="00BA607C">
        <w:rPr>
          <w:sz w:val="24"/>
          <w:szCs w:val="24"/>
        </w:rPr>
        <w:t xml:space="preserve"> </w:t>
      </w:r>
    </w:p>
    <w:p w:rsidR="00FE4ACA" w:rsidRDefault="00FE4ACA" w:rsidP="00B849A7">
      <w:pPr>
        <w:pStyle w:val="Header"/>
        <w:tabs>
          <w:tab w:val="clear" w:pos="4153"/>
          <w:tab w:val="clear" w:pos="8306"/>
          <w:tab w:val="left" w:pos="540"/>
          <w:tab w:val="left" w:pos="567"/>
        </w:tabs>
        <w:spacing w:line="360" w:lineRule="auto"/>
        <w:ind w:left="567" w:hanging="567"/>
        <w:jc w:val="both"/>
        <w:rPr>
          <w:b/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V.</w:t>
      </w:r>
      <w:r w:rsidRPr="00350982">
        <w:rPr>
          <w:sz w:val="24"/>
          <w:szCs w:val="24"/>
        </w:rPr>
        <w:tab/>
        <w:t>HET VERZOEKSCHRIFT</w:t>
      </w:r>
    </w:p>
    <w:p w:rsidR="00FE4ACA" w:rsidRDefault="00FE4ACA" w:rsidP="00B849A7">
      <w:pPr>
        <w:spacing w:line="360" w:lineRule="auto"/>
        <w:ind w:left="567"/>
        <w:jc w:val="both"/>
        <w:rPr>
          <w:sz w:val="24"/>
          <w:szCs w:val="24"/>
        </w:rPr>
      </w:pPr>
    </w:p>
    <w:p w:rsidR="00FE4ACA" w:rsidRPr="00BA607C" w:rsidRDefault="00C75661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b/>
          <w:sz w:val="24"/>
          <w:szCs w:val="24"/>
        </w:rPr>
      </w:pPr>
      <w:r w:rsidRPr="00BA607C">
        <w:rPr>
          <w:b/>
          <w:sz w:val="24"/>
          <w:szCs w:val="24"/>
        </w:rPr>
        <w:t>[</w:t>
      </w:r>
      <w:r w:rsidR="00BA607C" w:rsidRPr="00BA607C">
        <w:rPr>
          <w:b/>
          <w:sz w:val="24"/>
          <w:szCs w:val="24"/>
        </w:rPr>
        <w:t xml:space="preserve">Geef onder dit kopje </w:t>
      </w:r>
      <w:r w:rsidRPr="00BA607C">
        <w:rPr>
          <w:b/>
          <w:sz w:val="24"/>
          <w:szCs w:val="24"/>
        </w:rPr>
        <w:t xml:space="preserve">een uiteenzetting van het betoog van </w:t>
      </w:r>
      <w:r w:rsidR="00022326" w:rsidRPr="00BA607C">
        <w:rPr>
          <w:b/>
          <w:sz w:val="24"/>
          <w:szCs w:val="24"/>
        </w:rPr>
        <w:t>de Commissie</w:t>
      </w:r>
      <w:r w:rsidR="00BA607C" w:rsidRPr="00BA607C">
        <w:rPr>
          <w:b/>
          <w:sz w:val="24"/>
          <w:szCs w:val="24"/>
        </w:rPr>
        <w:t>.</w:t>
      </w:r>
      <w:r w:rsidR="00022326" w:rsidRPr="00BA607C">
        <w:rPr>
          <w:b/>
          <w:sz w:val="24"/>
          <w:szCs w:val="24"/>
        </w:rPr>
        <w:t>]</w:t>
      </w:r>
      <w:r w:rsidR="00FE4ACA" w:rsidRPr="00BA607C">
        <w:rPr>
          <w:b/>
          <w:sz w:val="24"/>
          <w:szCs w:val="24"/>
        </w:rPr>
        <w:t xml:space="preserve"> </w:t>
      </w:r>
    </w:p>
    <w:p w:rsidR="00FE4ACA" w:rsidRDefault="00FE4ACA" w:rsidP="00B849A7">
      <w:pPr>
        <w:pStyle w:val="ListParagraph"/>
        <w:spacing w:line="360" w:lineRule="auto"/>
        <w:ind w:left="0"/>
        <w:rPr>
          <w:b/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VI.  VERWEER</w:t>
      </w:r>
    </w:p>
    <w:p w:rsidR="00FE4ACA" w:rsidRDefault="00FE4ACA" w:rsidP="00B849A7">
      <w:pPr>
        <w:pStyle w:val="ListParagraph"/>
        <w:spacing w:line="360" w:lineRule="auto"/>
        <w:ind w:left="0"/>
        <w:rPr>
          <w:sz w:val="24"/>
          <w:szCs w:val="24"/>
        </w:rPr>
      </w:pPr>
    </w:p>
    <w:p w:rsidR="00BA607C" w:rsidRPr="00BA607C" w:rsidRDefault="00BA607C" w:rsidP="00BA607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b/>
          <w:sz w:val="24"/>
          <w:szCs w:val="24"/>
        </w:rPr>
      </w:pPr>
      <w:r w:rsidRPr="00BA607C">
        <w:rPr>
          <w:b/>
          <w:sz w:val="24"/>
          <w:szCs w:val="24"/>
        </w:rPr>
        <w:t>[Hierna het verweer van Nederland.</w:t>
      </w:r>
      <w:r>
        <w:rPr>
          <w:b/>
          <w:sz w:val="24"/>
          <w:szCs w:val="24"/>
        </w:rPr>
        <w:t xml:space="preserve"> </w:t>
      </w:r>
      <w:r w:rsidRPr="00BA607C">
        <w:rPr>
          <w:b/>
          <w:sz w:val="24"/>
          <w:szCs w:val="24"/>
        </w:rPr>
        <w:t>Let op de volgende punten:</w:t>
      </w:r>
    </w:p>
    <w:p w:rsidR="00BA607C" w:rsidRDefault="00BA607C" w:rsidP="00BA607C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het verweerschrift is het de bedoeling zoveel mogelijk stellingen, onderbouwingen en zienswijzen van de Commissie onderuit te halen.</w:t>
      </w:r>
    </w:p>
    <w:p w:rsidR="00174FA4" w:rsidRDefault="00BA607C" w:rsidP="00174FA4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174FA4">
        <w:rPr>
          <w:b/>
          <w:sz w:val="24"/>
          <w:szCs w:val="24"/>
        </w:rPr>
        <w:t>Vergeet niet dat het in infractieprocedures aan de Commissie is te stellen en bewijzen dat een lidstaat het Unierecht heeft geschonden. Heeft de Commissie aan deze bewijslast voldaan?</w:t>
      </w:r>
      <w:r w:rsidR="00174FA4" w:rsidRPr="00174FA4">
        <w:rPr>
          <w:b/>
          <w:sz w:val="24"/>
          <w:szCs w:val="24"/>
        </w:rPr>
        <w:t xml:space="preserve"> </w:t>
      </w:r>
    </w:p>
    <w:p w:rsidR="00174FA4" w:rsidRDefault="00BA607C" w:rsidP="00174FA4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174FA4">
        <w:rPr>
          <w:b/>
          <w:sz w:val="24"/>
          <w:szCs w:val="24"/>
        </w:rPr>
        <w:t xml:space="preserve">Gaat de Commissie uit van </w:t>
      </w:r>
      <w:r w:rsidR="009F3D27" w:rsidRPr="00174FA4">
        <w:rPr>
          <w:b/>
          <w:sz w:val="24"/>
          <w:szCs w:val="24"/>
        </w:rPr>
        <w:t xml:space="preserve">de </w:t>
      </w:r>
      <w:r w:rsidRPr="00174FA4">
        <w:rPr>
          <w:b/>
          <w:sz w:val="24"/>
          <w:szCs w:val="24"/>
        </w:rPr>
        <w:t xml:space="preserve">juiste </w:t>
      </w:r>
      <w:r w:rsidR="009F3D27" w:rsidRPr="00174FA4">
        <w:rPr>
          <w:b/>
          <w:sz w:val="24"/>
          <w:szCs w:val="24"/>
        </w:rPr>
        <w:t>feiten en heeft zij de procedure juist doorlopen?</w:t>
      </w:r>
    </w:p>
    <w:p w:rsidR="00BA607C" w:rsidRPr="00174FA4" w:rsidRDefault="00BA607C" w:rsidP="00174FA4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174FA4">
        <w:rPr>
          <w:b/>
          <w:sz w:val="24"/>
          <w:szCs w:val="24"/>
        </w:rPr>
        <w:t xml:space="preserve">Zorg voor een logisch opgebouwd stuk. </w:t>
      </w:r>
    </w:p>
    <w:p w:rsidR="00BA607C" w:rsidRPr="006D0D5E" w:rsidRDefault="00BA607C" w:rsidP="00BA607C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b/>
          <w:sz w:val="24"/>
          <w:szCs w:val="24"/>
        </w:rPr>
      </w:pPr>
      <w:r w:rsidRPr="006D0D5E">
        <w:rPr>
          <w:b/>
          <w:sz w:val="24"/>
          <w:szCs w:val="24"/>
        </w:rPr>
        <w:t xml:space="preserve">Gebruik kopjes. </w:t>
      </w:r>
    </w:p>
    <w:p w:rsidR="00BA607C" w:rsidRPr="00C37D8E" w:rsidRDefault="00BA607C" w:rsidP="00BA607C">
      <w:pPr>
        <w:pStyle w:val="ListParagraph"/>
        <w:numPr>
          <w:ilvl w:val="0"/>
          <w:numId w:val="5"/>
        </w:numPr>
        <w:tabs>
          <w:tab w:val="left" w:pos="567"/>
        </w:tabs>
        <w:suppressAutoHyphens w:val="0"/>
        <w:autoSpaceDE w:val="0"/>
        <w:spacing w:line="360" w:lineRule="auto"/>
        <w:jc w:val="both"/>
        <w:rPr>
          <w:sz w:val="24"/>
          <w:szCs w:val="24"/>
        </w:rPr>
      </w:pPr>
      <w:r w:rsidRPr="00C37D8E">
        <w:rPr>
          <w:b/>
          <w:sz w:val="24"/>
          <w:szCs w:val="24"/>
        </w:rPr>
        <w:t>Gebruik voor aangehaalde rechtspraak en regelgeving de wijze waarop het Hof vergelijkbare stukken aanhaalt. Bijvoorbeeld “</w:t>
      </w:r>
      <w:r w:rsidR="003801D4" w:rsidRPr="00534409">
        <w:rPr>
          <w:b/>
          <w:sz w:val="24"/>
          <w:szCs w:val="24"/>
        </w:rPr>
        <w:t xml:space="preserve">Arrest </w:t>
      </w:r>
      <w:r w:rsidR="003801D4">
        <w:rPr>
          <w:b/>
          <w:sz w:val="24"/>
          <w:szCs w:val="24"/>
        </w:rPr>
        <w:t>van 19 april 2004</w:t>
      </w:r>
      <w:r w:rsidR="003801D4" w:rsidRPr="00534409">
        <w:rPr>
          <w:b/>
          <w:sz w:val="24"/>
          <w:szCs w:val="24"/>
        </w:rPr>
        <w:t>, C-</w:t>
      </w:r>
      <w:r w:rsidR="003801D4">
        <w:rPr>
          <w:b/>
          <w:sz w:val="24"/>
          <w:szCs w:val="24"/>
        </w:rPr>
        <w:t>77/01</w:t>
      </w:r>
      <w:r w:rsidR="003801D4" w:rsidRPr="00534409">
        <w:rPr>
          <w:b/>
          <w:sz w:val="24"/>
          <w:szCs w:val="24"/>
        </w:rPr>
        <w:t xml:space="preserve">, </w:t>
      </w:r>
      <w:r w:rsidR="003801D4">
        <w:rPr>
          <w:b/>
          <w:sz w:val="24"/>
          <w:szCs w:val="24"/>
        </w:rPr>
        <w:t>EDM, punt 57 en de aldaar genoemde rechtspraak</w:t>
      </w:r>
      <w:r w:rsidR="003801D4" w:rsidRPr="00C37D8E">
        <w:rPr>
          <w:b/>
          <w:sz w:val="24"/>
          <w:szCs w:val="24"/>
        </w:rPr>
        <w:t xml:space="preserve">” Of </w:t>
      </w:r>
      <w:r w:rsidR="003801D4">
        <w:rPr>
          <w:b/>
          <w:sz w:val="24"/>
          <w:szCs w:val="24"/>
        </w:rPr>
        <w:t xml:space="preserve">bij de </w:t>
      </w:r>
      <w:r w:rsidR="003801D4">
        <w:rPr>
          <w:b/>
          <w:sz w:val="24"/>
          <w:szCs w:val="24"/>
        </w:rPr>
        <w:lastRenderedPageBreak/>
        <w:t xml:space="preserve">volgende vermeldingen van het arrest </w:t>
      </w:r>
      <w:r w:rsidR="003801D4" w:rsidRPr="00C37D8E">
        <w:rPr>
          <w:b/>
          <w:sz w:val="24"/>
          <w:szCs w:val="24"/>
        </w:rPr>
        <w:t>“</w:t>
      </w:r>
      <w:r w:rsidR="003801D4" w:rsidRPr="00534409">
        <w:rPr>
          <w:b/>
          <w:sz w:val="24"/>
          <w:szCs w:val="24"/>
        </w:rPr>
        <w:t xml:space="preserve">Arrest </w:t>
      </w:r>
      <w:r w:rsidR="003801D4">
        <w:rPr>
          <w:b/>
          <w:sz w:val="24"/>
          <w:szCs w:val="24"/>
        </w:rPr>
        <w:t>EDM</w:t>
      </w:r>
      <w:r w:rsidR="003801D4" w:rsidRPr="00534409">
        <w:rPr>
          <w:b/>
          <w:sz w:val="24"/>
          <w:szCs w:val="24"/>
        </w:rPr>
        <w:t xml:space="preserve">, </w:t>
      </w:r>
      <w:r w:rsidR="003801D4">
        <w:rPr>
          <w:b/>
          <w:sz w:val="24"/>
          <w:szCs w:val="24"/>
        </w:rPr>
        <w:t>punt 28 en de aldaar aangehaalde rechtspraak</w:t>
      </w:r>
      <w:r w:rsidRPr="00C37D8E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]</w:t>
      </w:r>
    </w:p>
    <w:p w:rsidR="00BA607C" w:rsidRDefault="00BA607C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</w:p>
    <w:p w:rsidR="00FE4ACA" w:rsidRPr="00350982" w:rsidRDefault="00FE4ACA" w:rsidP="00350982">
      <w:pPr>
        <w:pStyle w:val="Heading4"/>
        <w:tabs>
          <w:tab w:val="left" w:pos="567"/>
          <w:tab w:val="left" w:pos="1134"/>
        </w:tabs>
        <w:spacing w:before="0" w:after="0" w:line="360" w:lineRule="auto"/>
        <w:jc w:val="both"/>
        <w:rPr>
          <w:sz w:val="24"/>
          <w:szCs w:val="24"/>
        </w:rPr>
      </w:pPr>
      <w:r w:rsidRPr="00350982">
        <w:rPr>
          <w:sz w:val="24"/>
          <w:szCs w:val="24"/>
        </w:rPr>
        <w:t>VII.</w:t>
      </w:r>
      <w:r w:rsidRPr="00350982">
        <w:rPr>
          <w:sz w:val="24"/>
          <w:szCs w:val="24"/>
        </w:rPr>
        <w:tab/>
        <w:t>CONCLUSIE</w:t>
      </w:r>
    </w:p>
    <w:p w:rsidR="00FE4ACA" w:rsidRDefault="00FE4ACA" w:rsidP="00B849A7">
      <w:pPr>
        <w:suppressAutoHyphens w:val="0"/>
        <w:autoSpaceDE w:val="0"/>
        <w:spacing w:line="360" w:lineRule="auto"/>
        <w:ind w:left="567"/>
        <w:jc w:val="both"/>
        <w:rPr>
          <w:sz w:val="24"/>
          <w:szCs w:val="24"/>
        </w:rPr>
      </w:pPr>
    </w:p>
    <w:p w:rsidR="00FE4ACA" w:rsidRDefault="00FE4ACA" w:rsidP="00B849A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spacing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Nederlandse regering concludeert dat het </w:t>
      </w:r>
      <w:r w:rsidR="00BD240E">
        <w:rPr>
          <w:sz w:val="24"/>
          <w:szCs w:val="24"/>
        </w:rPr>
        <w:t xml:space="preserve">verzoek </w:t>
      </w:r>
      <w:r>
        <w:rPr>
          <w:sz w:val="24"/>
          <w:szCs w:val="24"/>
        </w:rPr>
        <w:t xml:space="preserve">van de Commissie </w:t>
      </w:r>
      <w:r w:rsidR="00CA6179">
        <w:rPr>
          <w:sz w:val="24"/>
          <w:szCs w:val="24"/>
        </w:rPr>
        <w:t xml:space="preserve">moet worden </w:t>
      </w:r>
      <w:r>
        <w:rPr>
          <w:sz w:val="24"/>
          <w:szCs w:val="24"/>
        </w:rPr>
        <w:t xml:space="preserve">afgewezen en dat </w:t>
      </w:r>
      <w:r w:rsidR="00022326">
        <w:rPr>
          <w:sz w:val="24"/>
          <w:szCs w:val="24"/>
        </w:rPr>
        <w:t xml:space="preserve">de </w:t>
      </w:r>
      <w:r w:rsidR="00CA6179">
        <w:rPr>
          <w:sz w:val="24"/>
          <w:szCs w:val="24"/>
        </w:rPr>
        <w:t>Commissie</w:t>
      </w:r>
      <w:r w:rsidR="00022326">
        <w:rPr>
          <w:sz w:val="24"/>
          <w:szCs w:val="24"/>
        </w:rPr>
        <w:t xml:space="preserve"> </w:t>
      </w:r>
      <w:r w:rsidR="00CA6179">
        <w:rPr>
          <w:sz w:val="24"/>
          <w:szCs w:val="24"/>
        </w:rPr>
        <w:t xml:space="preserve">moet </w:t>
      </w:r>
      <w:r>
        <w:rPr>
          <w:sz w:val="24"/>
          <w:szCs w:val="24"/>
        </w:rPr>
        <w:t xml:space="preserve">worden veroordeeld in de kosten van het geding. </w:t>
      </w: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FE4ACA" w:rsidP="00B849A7">
      <w:pPr>
        <w:spacing w:line="360" w:lineRule="auto"/>
        <w:rPr>
          <w:sz w:val="24"/>
          <w:szCs w:val="24"/>
        </w:rPr>
      </w:pPr>
    </w:p>
    <w:p w:rsidR="00FE4ACA" w:rsidRDefault="003801D4" w:rsidP="009E58E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Mielle Bulterman</w:t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FE4ACA">
        <w:rPr>
          <w:sz w:val="24"/>
          <w:szCs w:val="24"/>
        </w:rPr>
        <w:tab/>
      </w:r>
      <w:r w:rsidR="00CA6179" w:rsidRPr="00BA607C">
        <w:rPr>
          <w:b/>
          <w:sz w:val="24"/>
          <w:szCs w:val="24"/>
        </w:rPr>
        <w:t>[naam medewerker]</w:t>
      </w:r>
    </w:p>
    <w:p w:rsidR="00FE4ACA" w:rsidRDefault="00FE4ACA" w:rsidP="009E58EE">
      <w:pPr>
        <w:spacing w:line="360" w:lineRule="auto"/>
        <w:ind w:firstLine="708"/>
        <w:jc w:val="center"/>
        <w:rPr>
          <w:sz w:val="24"/>
          <w:szCs w:val="24"/>
        </w:rPr>
      </w:pPr>
    </w:p>
    <w:p w:rsidR="00FE4ACA" w:rsidRDefault="00FE4ACA" w:rsidP="009E58E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Gemachtigden</w:t>
      </w:r>
    </w:p>
    <w:p w:rsidR="00FE4ACA" w:rsidRDefault="00FE4ACA" w:rsidP="00B849A7">
      <w:pPr>
        <w:spacing w:line="360" w:lineRule="auto"/>
        <w:ind w:firstLine="708"/>
        <w:jc w:val="both"/>
        <w:rPr>
          <w:sz w:val="24"/>
          <w:szCs w:val="24"/>
        </w:rPr>
      </w:pPr>
    </w:p>
    <w:p w:rsidR="00FE4ACA" w:rsidRDefault="00FE4ACA" w:rsidP="00B849A7">
      <w:pPr>
        <w:spacing w:line="360" w:lineRule="auto"/>
        <w:ind w:firstLine="708"/>
        <w:jc w:val="both"/>
        <w:rPr>
          <w:sz w:val="24"/>
          <w:szCs w:val="24"/>
        </w:rPr>
      </w:pPr>
    </w:p>
    <w:p w:rsidR="00FE4ACA" w:rsidRPr="00BA607C" w:rsidRDefault="00CA6179" w:rsidP="00B849A7">
      <w:pPr>
        <w:spacing w:line="360" w:lineRule="auto"/>
        <w:ind w:firstLine="567"/>
        <w:jc w:val="both"/>
        <w:rPr>
          <w:b/>
        </w:rPr>
      </w:pPr>
      <w:r>
        <w:rPr>
          <w:sz w:val="24"/>
          <w:szCs w:val="24"/>
        </w:rPr>
        <w:t>Den Haag</w:t>
      </w:r>
      <w:r w:rsidR="00FE4ACA">
        <w:rPr>
          <w:sz w:val="24"/>
          <w:szCs w:val="24"/>
        </w:rPr>
        <w:t xml:space="preserve">, </w:t>
      </w:r>
      <w:r w:rsidRPr="00BA607C">
        <w:rPr>
          <w:b/>
          <w:sz w:val="24"/>
          <w:szCs w:val="24"/>
        </w:rPr>
        <w:t>[datum]</w:t>
      </w:r>
    </w:p>
    <w:p w:rsidR="00FE4ACA" w:rsidRDefault="00FE4ACA"/>
    <w:sectPr w:rsidR="00FE4ACA" w:rsidSect="0018554C">
      <w:footerReference w:type="even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52" w:rsidRDefault="00993352" w:rsidP="00B86FE9">
      <w:r>
        <w:separator/>
      </w:r>
    </w:p>
  </w:endnote>
  <w:endnote w:type="continuationSeparator" w:id="0">
    <w:p w:rsidR="00993352" w:rsidRDefault="00993352" w:rsidP="00B8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52" w:rsidRDefault="00917C7B" w:rsidP="00877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33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352">
      <w:rPr>
        <w:rStyle w:val="PageNumber"/>
        <w:noProof/>
      </w:rPr>
      <w:t>4</w:t>
    </w:r>
    <w:r>
      <w:rPr>
        <w:rStyle w:val="PageNumber"/>
      </w:rPr>
      <w:fldChar w:fldCharType="end"/>
    </w:r>
  </w:p>
  <w:p w:rsidR="00993352" w:rsidRDefault="009933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52" w:rsidRDefault="00917C7B" w:rsidP="00877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33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8CD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352" w:rsidRDefault="00993352">
    <w:pPr>
      <w:pStyle w:val="Footer"/>
      <w:jc w:val="right"/>
    </w:pPr>
  </w:p>
  <w:p w:rsidR="00993352" w:rsidRDefault="00993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52" w:rsidRDefault="00993352" w:rsidP="00B86FE9">
      <w:r>
        <w:separator/>
      </w:r>
    </w:p>
  </w:footnote>
  <w:footnote w:type="continuationSeparator" w:id="0">
    <w:p w:rsidR="00993352" w:rsidRDefault="00993352" w:rsidP="00B8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352" w:rsidRDefault="00993352" w:rsidP="00AC56F5">
    <w:pPr>
      <w:pStyle w:val="Header"/>
      <w:jc w:val="center"/>
    </w:pPr>
    <w:r>
      <w:rPr>
        <w:noProof/>
        <w:lang w:eastAsia="nl-NL"/>
      </w:rPr>
      <w:drawing>
        <wp:inline distT="0" distB="0" distL="0" distR="0">
          <wp:extent cx="469900" cy="1574800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3">
    <w:nsid w:val="2FE47D48"/>
    <w:multiLevelType w:val="hybridMultilevel"/>
    <w:tmpl w:val="01324E48"/>
    <w:lvl w:ilvl="0" w:tplc="3D4CE2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021CBB"/>
    <w:multiLevelType w:val="hybridMultilevel"/>
    <w:tmpl w:val="0C2A16E2"/>
    <w:lvl w:ilvl="0" w:tplc="1950732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A7"/>
    <w:rsid w:val="000006DE"/>
    <w:rsid w:val="00002AB3"/>
    <w:rsid w:val="000056A5"/>
    <w:rsid w:val="00022326"/>
    <w:rsid w:val="00076788"/>
    <w:rsid w:val="00081471"/>
    <w:rsid w:val="00081847"/>
    <w:rsid w:val="000C3027"/>
    <w:rsid w:val="000C55E9"/>
    <w:rsid w:val="000D5E3D"/>
    <w:rsid w:val="000F53AA"/>
    <w:rsid w:val="00112E24"/>
    <w:rsid w:val="0014405D"/>
    <w:rsid w:val="001545D3"/>
    <w:rsid w:val="00170916"/>
    <w:rsid w:val="00174FA4"/>
    <w:rsid w:val="0018554C"/>
    <w:rsid w:val="001C57DB"/>
    <w:rsid w:val="00222CD3"/>
    <w:rsid w:val="00241EE4"/>
    <w:rsid w:val="00262881"/>
    <w:rsid w:val="0026702B"/>
    <w:rsid w:val="002B0048"/>
    <w:rsid w:val="002E0BDF"/>
    <w:rsid w:val="002F2FAE"/>
    <w:rsid w:val="003139C0"/>
    <w:rsid w:val="00332336"/>
    <w:rsid w:val="00335987"/>
    <w:rsid w:val="0034150A"/>
    <w:rsid w:val="00350982"/>
    <w:rsid w:val="003741B7"/>
    <w:rsid w:val="003801D4"/>
    <w:rsid w:val="00393FFA"/>
    <w:rsid w:val="003A7C59"/>
    <w:rsid w:val="00421B28"/>
    <w:rsid w:val="0042548B"/>
    <w:rsid w:val="0043739C"/>
    <w:rsid w:val="004458E6"/>
    <w:rsid w:val="00474A62"/>
    <w:rsid w:val="004B4AC5"/>
    <w:rsid w:val="004E0312"/>
    <w:rsid w:val="0051115F"/>
    <w:rsid w:val="0052778D"/>
    <w:rsid w:val="005333C7"/>
    <w:rsid w:val="005817E8"/>
    <w:rsid w:val="00582E6C"/>
    <w:rsid w:val="005835A4"/>
    <w:rsid w:val="005C688E"/>
    <w:rsid w:val="00663099"/>
    <w:rsid w:val="0067224E"/>
    <w:rsid w:val="006E2429"/>
    <w:rsid w:val="006F3B96"/>
    <w:rsid w:val="00713D7F"/>
    <w:rsid w:val="00733DFA"/>
    <w:rsid w:val="00754216"/>
    <w:rsid w:val="00791224"/>
    <w:rsid w:val="007A04E2"/>
    <w:rsid w:val="007A1882"/>
    <w:rsid w:val="007A228F"/>
    <w:rsid w:val="007A38CD"/>
    <w:rsid w:val="007A78D0"/>
    <w:rsid w:val="007C14E7"/>
    <w:rsid w:val="007D3846"/>
    <w:rsid w:val="007D403C"/>
    <w:rsid w:val="00824FB9"/>
    <w:rsid w:val="0083269F"/>
    <w:rsid w:val="0084761B"/>
    <w:rsid w:val="008775BC"/>
    <w:rsid w:val="00895641"/>
    <w:rsid w:val="008B6D06"/>
    <w:rsid w:val="008D1087"/>
    <w:rsid w:val="008E401A"/>
    <w:rsid w:val="00917C7B"/>
    <w:rsid w:val="009548C8"/>
    <w:rsid w:val="009611F6"/>
    <w:rsid w:val="00964236"/>
    <w:rsid w:val="0098217D"/>
    <w:rsid w:val="00993352"/>
    <w:rsid w:val="009C6DFE"/>
    <w:rsid w:val="009D43D9"/>
    <w:rsid w:val="009D4FAD"/>
    <w:rsid w:val="009D57FD"/>
    <w:rsid w:val="009E58EE"/>
    <w:rsid w:val="009F3D27"/>
    <w:rsid w:val="00A04163"/>
    <w:rsid w:val="00A454C3"/>
    <w:rsid w:val="00A474DE"/>
    <w:rsid w:val="00A63ECC"/>
    <w:rsid w:val="00A64FD3"/>
    <w:rsid w:val="00A808A7"/>
    <w:rsid w:val="00A95D69"/>
    <w:rsid w:val="00AA3BE4"/>
    <w:rsid w:val="00AB0476"/>
    <w:rsid w:val="00AB3455"/>
    <w:rsid w:val="00AC56F5"/>
    <w:rsid w:val="00AD1FCF"/>
    <w:rsid w:val="00AD4EEE"/>
    <w:rsid w:val="00AD6B87"/>
    <w:rsid w:val="00AD754F"/>
    <w:rsid w:val="00B2582C"/>
    <w:rsid w:val="00B37038"/>
    <w:rsid w:val="00B600C5"/>
    <w:rsid w:val="00B64367"/>
    <w:rsid w:val="00B67828"/>
    <w:rsid w:val="00B7589D"/>
    <w:rsid w:val="00B75D3A"/>
    <w:rsid w:val="00B849A7"/>
    <w:rsid w:val="00B86FE9"/>
    <w:rsid w:val="00B95BEB"/>
    <w:rsid w:val="00BA270F"/>
    <w:rsid w:val="00BA607C"/>
    <w:rsid w:val="00BB4E79"/>
    <w:rsid w:val="00BD240E"/>
    <w:rsid w:val="00C02C1A"/>
    <w:rsid w:val="00C24D0C"/>
    <w:rsid w:val="00C74D52"/>
    <w:rsid w:val="00C75661"/>
    <w:rsid w:val="00C8240D"/>
    <w:rsid w:val="00CA6179"/>
    <w:rsid w:val="00CC44E6"/>
    <w:rsid w:val="00D13237"/>
    <w:rsid w:val="00D33329"/>
    <w:rsid w:val="00D54F46"/>
    <w:rsid w:val="00DE38A4"/>
    <w:rsid w:val="00DF62E6"/>
    <w:rsid w:val="00E524DA"/>
    <w:rsid w:val="00F044B7"/>
    <w:rsid w:val="00F31332"/>
    <w:rsid w:val="00F3626E"/>
    <w:rsid w:val="00F5719A"/>
    <w:rsid w:val="00F77A4D"/>
    <w:rsid w:val="00F84CE4"/>
    <w:rsid w:val="00FC5E2F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A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9A7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9A7"/>
    <w:pPr>
      <w:keepNext/>
      <w:tabs>
        <w:tab w:val="num" w:pos="0"/>
      </w:tabs>
      <w:spacing w:line="360" w:lineRule="auto"/>
      <w:ind w:left="360"/>
      <w:jc w:val="both"/>
      <w:outlineLvl w:val="1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4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9A7"/>
    <w:pPr>
      <w:keepNext/>
      <w:tabs>
        <w:tab w:val="num" w:pos="0"/>
      </w:tabs>
      <w:spacing w:line="360" w:lineRule="auto"/>
      <w:ind w:left="1008" w:hanging="1008"/>
      <w:jc w:val="center"/>
      <w:outlineLvl w:val="4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49A7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49A7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49A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49A7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849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4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B849A7"/>
    <w:pPr>
      <w:overflowPunct w:val="0"/>
      <w:autoSpaceDE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B84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849A7"/>
    <w:pPr>
      <w:ind w:left="720"/>
    </w:pPr>
  </w:style>
  <w:style w:type="paragraph" w:styleId="Footer">
    <w:name w:val="footer"/>
    <w:basedOn w:val="Normal"/>
    <w:link w:val="FooterChar"/>
    <w:uiPriority w:val="99"/>
    <w:rsid w:val="00B84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ijstalinea1">
    <w:name w:val="Lijstalinea1"/>
    <w:basedOn w:val="Normal"/>
    <w:uiPriority w:val="99"/>
    <w:rsid w:val="00B849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98"/>
    <w:rPr>
      <w:rFonts w:ascii="Times New Roman" w:eastAsia="Times New Roman" w:hAnsi="Times New Roman"/>
      <w:sz w:val="0"/>
      <w:szCs w:val="0"/>
      <w:lang w:eastAsia="ar-SA"/>
    </w:rPr>
  </w:style>
  <w:style w:type="character" w:styleId="PageNumber">
    <w:name w:val="page number"/>
    <w:basedOn w:val="DefaultParagraphFont"/>
    <w:uiPriority w:val="99"/>
    <w:rsid w:val="0033598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2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2E6"/>
    <w:rPr>
      <w:rFonts w:ascii="Times New Roman" w:eastAsia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E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A7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49A7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49A7"/>
    <w:pPr>
      <w:keepNext/>
      <w:tabs>
        <w:tab w:val="num" w:pos="0"/>
      </w:tabs>
      <w:spacing w:line="360" w:lineRule="auto"/>
      <w:ind w:left="360"/>
      <w:jc w:val="both"/>
      <w:outlineLvl w:val="1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4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49A7"/>
    <w:pPr>
      <w:keepNext/>
      <w:tabs>
        <w:tab w:val="num" w:pos="0"/>
      </w:tabs>
      <w:spacing w:line="360" w:lineRule="auto"/>
      <w:ind w:left="1008" w:hanging="1008"/>
      <w:jc w:val="center"/>
      <w:outlineLvl w:val="4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49A7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49A7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49A7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49A7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B849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84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B849A7"/>
    <w:pPr>
      <w:overflowPunct w:val="0"/>
      <w:autoSpaceDE w:val="0"/>
      <w:ind w:left="283" w:hanging="283"/>
      <w:textAlignment w:val="baseline"/>
    </w:pPr>
    <w:rPr>
      <w:rFonts w:ascii="V&amp;W Syntax (Adobe)" w:hAnsi="V&amp;W Syntax (Adobe)"/>
      <w:sz w:val="19"/>
      <w:lang w:val="nl"/>
    </w:rPr>
  </w:style>
  <w:style w:type="paragraph" w:styleId="Header">
    <w:name w:val="header"/>
    <w:basedOn w:val="Normal"/>
    <w:link w:val="HeaderChar"/>
    <w:uiPriority w:val="99"/>
    <w:rsid w:val="00B849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849A7"/>
    <w:pPr>
      <w:ind w:left="720"/>
    </w:pPr>
  </w:style>
  <w:style w:type="paragraph" w:styleId="Footer">
    <w:name w:val="footer"/>
    <w:basedOn w:val="Normal"/>
    <w:link w:val="FooterChar"/>
    <w:uiPriority w:val="99"/>
    <w:rsid w:val="00B84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49A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ijstalinea1">
    <w:name w:val="Lijstalinea1"/>
    <w:basedOn w:val="Normal"/>
    <w:uiPriority w:val="99"/>
    <w:rsid w:val="00B849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98"/>
    <w:rPr>
      <w:rFonts w:ascii="Times New Roman" w:eastAsia="Times New Roman" w:hAnsi="Times New Roman"/>
      <w:sz w:val="0"/>
      <w:szCs w:val="0"/>
      <w:lang w:eastAsia="ar-SA"/>
    </w:rPr>
  </w:style>
  <w:style w:type="character" w:styleId="PageNumber">
    <w:name w:val="page number"/>
    <w:basedOn w:val="DefaultParagraphFont"/>
    <w:uiPriority w:val="99"/>
    <w:rsid w:val="0033598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F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2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2E6"/>
    <w:rPr>
      <w:rFonts w:ascii="Times New Roman" w:eastAsia="Times New Roman" w:hAnsi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2E6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3788788F</Template>
  <TotalTime>3</TotalTime>
  <Pages>4</Pages>
  <Words>532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Directie Juridische Zaken</vt:lpstr>
    </vt:vector>
  </TitlesOfParts>
  <Company>Rijksoverheid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Directie Juridische Zaken</dc:title>
  <dc:creator>NORDEN</dc:creator>
  <cp:lastModifiedBy>Monique Montagne</cp:lastModifiedBy>
  <cp:revision>2</cp:revision>
  <cp:lastPrinted>2011-05-04T13:31:00Z</cp:lastPrinted>
  <dcterms:created xsi:type="dcterms:W3CDTF">2015-04-02T15:20:00Z</dcterms:created>
  <dcterms:modified xsi:type="dcterms:W3CDTF">2015-04-02T15:20:00Z</dcterms:modified>
</cp:coreProperties>
</file>