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88594C" w:rsidP="00191321">
      <w:pPr>
        <w:rPr>
          <w:b/>
          <w:lang w:val="nl-NL"/>
        </w:rPr>
      </w:pPr>
      <w:bookmarkStart w:id="0" w:name="_GoBack"/>
      <w:bookmarkEnd w:id="0"/>
      <w:r>
        <w:rPr>
          <w:b/>
          <w:lang w:val="nl-NL"/>
        </w:rPr>
        <w:t>BEGRIPPENLIJST ICER-HANDLEIDING DELEGATIE EN COMITOLOGIE</w:t>
      </w:r>
      <w:r w:rsidR="00E80303" w:rsidRPr="0094663B">
        <w:rPr>
          <w:b/>
          <w:lang w:val="nl-NL"/>
        </w:rPr>
        <w:t>:</w:t>
      </w:r>
    </w:p>
    <w:p w:rsidR="0088594C" w:rsidRPr="0088594C" w:rsidRDefault="0088594C" w:rsidP="00191321">
      <w:pPr>
        <w:rPr>
          <w:b/>
          <w:lang w:val="nl-NL"/>
        </w:rPr>
      </w:pPr>
    </w:p>
    <w:p w:rsidR="00920108" w:rsidRDefault="006D4FA3" w:rsidP="001F5166">
      <w:pPr>
        <w:pStyle w:val="NormalWeb"/>
        <w:ind w:left="3600" w:hanging="3600"/>
        <w:rPr>
          <w:rFonts w:ascii="Verdana" w:hAnsi="Verdana"/>
          <w:sz w:val="18"/>
          <w:szCs w:val="18"/>
        </w:rPr>
      </w:pPr>
      <w:r w:rsidRPr="006D4FA3">
        <w:rPr>
          <w:rFonts w:ascii="Verdana" w:hAnsi="Verdana"/>
          <w:b/>
          <w:sz w:val="18"/>
          <w:szCs w:val="18"/>
        </w:rPr>
        <w:t>A</w:t>
      </w:r>
      <w:r w:rsidR="00237C04" w:rsidRPr="006D4FA3">
        <w:rPr>
          <w:rFonts w:ascii="Verdana" w:hAnsi="Verdana"/>
          <w:b/>
          <w:sz w:val="18"/>
          <w:szCs w:val="18"/>
        </w:rPr>
        <w:t>dviescomité</w:t>
      </w:r>
      <w:r w:rsidR="004E4B29">
        <w:rPr>
          <w:rFonts w:ascii="Verdana" w:hAnsi="Verdana"/>
          <w:b/>
          <w:sz w:val="18"/>
          <w:szCs w:val="18"/>
        </w:rPr>
        <w:t xml:space="preserve"> (AC)</w:t>
      </w:r>
      <w:r w:rsidRPr="006D4FA3">
        <w:rPr>
          <w:rFonts w:ascii="Verdana" w:hAnsi="Verdana"/>
          <w:b/>
          <w:sz w:val="18"/>
          <w:szCs w:val="18"/>
        </w:rPr>
        <w:tab/>
      </w:r>
      <w:r w:rsidR="00A541C3">
        <w:rPr>
          <w:rFonts w:ascii="Verdana" w:hAnsi="Verdana"/>
          <w:sz w:val="18"/>
          <w:szCs w:val="18"/>
        </w:rPr>
        <w:t xml:space="preserve">Ook: </w:t>
      </w:r>
      <w:r w:rsidR="001A6BD1">
        <w:rPr>
          <w:rFonts w:ascii="Verdana" w:hAnsi="Verdana"/>
          <w:sz w:val="18"/>
          <w:szCs w:val="18"/>
        </w:rPr>
        <w:t>‘</w:t>
      </w:r>
      <w:r w:rsidR="00A541C3">
        <w:rPr>
          <w:rFonts w:ascii="Verdana" w:hAnsi="Verdana"/>
          <w:sz w:val="18"/>
          <w:szCs w:val="18"/>
        </w:rPr>
        <w:t>raadplegingscomité</w:t>
      </w:r>
      <w:r w:rsidR="001A6BD1">
        <w:rPr>
          <w:rFonts w:ascii="Verdana" w:hAnsi="Verdana"/>
          <w:sz w:val="18"/>
          <w:szCs w:val="18"/>
        </w:rPr>
        <w:t>’</w:t>
      </w:r>
      <w:r w:rsidR="00A541C3">
        <w:rPr>
          <w:rFonts w:ascii="Verdana" w:hAnsi="Verdana"/>
          <w:sz w:val="18"/>
          <w:szCs w:val="18"/>
        </w:rPr>
        <w:t xml:space="preserve">. </w:t>
      </w:r>
      <w:r w:rsidR="00191321">
        <w:rPr>
          <w:rFonts w:ascii="Verdana" w:hAnsi="Verdana"/>
          <w:sz w:val="18"/>
          <w:szCs w:val="18"/>
        </w:rPr>
        <w:t>C</w:t>
      </w:r>
      <w:r w:rsidRPr="006D4FA3">
        <w:rPr>
          <w:rFonts w:ascii="Verdana" w:hAnsi="Verdana"/>
          <w:sz w:val="18"/>
          <w:szCs w:val="18"/>
        </w:rPr>
        <w:t>omité dat de Commissie adviseert over de vast te stellen uitvoeringshandeling</w:t>
      </w:r>
      <w:r w:rsidR="00145ED9">
        <w:rPr>
          <w:rFonts w:ascii="Verdana" w:hAnsi="Verdana"/>
          <w:sz w:val="18"/>
          <w:szCs w:val="18"/>
        </w:rPr>
        <w:t xml:space="preserve"> in het kader van de raadplegingsprocedure</w:t>
      </w:r>
      <w:r w:rsidRPr="006D4FA3">
        <w:rPr>
          <w:rFonts w:ascii="Verdana" w:hAnsi="Verdana"/>
          <w:sz w:val="18"/>
          <w:szCs w:val="18"/>
        </w:rPr>
        <w:t xml:space="preserve">. De Commissie </w:t>
      </w:r>
      <w:r w:rsidR="00145ED9">
        <w:rPr>
          <w:rFonts w:ascii="Verdana" w:hAnsi="Verdana"/>
          <w:sz w:val="18"/>
          <w:szCs w:val="18"/>
        </w:rPr>
        <w:t xml:space="preserve">mag gevolg geven aan het advies van het comité, maar is daartoe niet verplicht. </w:t>
      </w:r>
      <w:r w:rsidR="00754388" w:rsidRPr="006D4FA3">
        <w:rPr>
          <w:rFonts w:ascii="Verdana" w:hAnsi="Verdana"/>
          <w:sz w:val="18"/>
          <w:szCs w:val="18"/>
        </w:rPr>
        <w:t xml:space="preserve">Het is de ‘lichtste’ variant van </w:t>
      </w:r>
      <w:proofErr w:type="spellStart"/>
      <w:r w:rsidR="00754388" w:rsidRPr="006D4FA3">
        <w:rPr>
          <w:rFonts w:ascii="Verdana" w:hAnsi="Verdana"/>
          <w:sz w:val="18"/>
          <w:szCs w:val="18"/>
        </w:rPr>
        <w:t>comitologie</w:t>
      </w:r>
      <w:proofErr w:type="spellEnd"/>
      <w:r w:rsidR="00754388" w:rsidRPr="006D4FA3">
        <w:rPr>
          <w:rFonts w:ascii="Verdana" w:hAnsi="Verdana"/>
          <w:sz w:val="18"/>
          <w:szCs w:val="18"/>
        </w:rPr>
        <w:t>.</w:t>
      </w:r>
    </w:p>
    <w:p w:rsidR="00E51102" w:rsidRDefault="00151FD5" w:rsidP="00E51102">
      <w:pPr>
        <w:ind w:left="3600" w:hanging="3600"/>
        <w:rPr>
          <w:lang w:val="nl-NL"/>
        </w:rPr>
      </w:pPr>
      <w:r w:rsidRPr="00E51102">
        <w:rPr>
          <w:b/>
          <w:szCs w:val="18"/>
          <w:lang w:val="nl-NL"/>
        </w:rPr>
        <w:t>Adviesprocedure</w:t>
      </w:r>
      <w:r w:rsidRPr="00E51102">
        <w:rPr>
          <w:b/>
          <w:szCs w:val="18"/>
          <w:lang w:val="nl-NL"/>
        </w:rPr>
        <w:tab/>
      </w:r>
      <w:r w:rsidR="00E51102">
        <w:rPr>
          <w:lang w:val="nl-NL"/>
        </w:rPr>
        <w:t xml:space="preserve">Procedure voor de vaststelling van uitvoeringshandelingen. Deze procedure is in de regel van toepassing voor de vaststelling van uitvoeringshandelingen waarop de onderzoeksprocedure niet van toepassing is, of wanneer zij meer geschikt wordt geacht. </w:t>
      </w:r>
    </w:p>
    <w:p w:rsidR="00E51102" w:rsidRDefault="00E51102" w:rsidP="00E51102">
      <w:pPr>
        <w:ind w:left="3600" w:hanging="3600"/>
        <w:rPr>
          <w:lang w:val="nl-NL"/>
        </w:rPr>
      </w:pPr>
    </w:p>
    <w:p w:rsidR="00E80303" w:rsidRDefault="008D2146" w:rsidP="00191321">
      <w:pPr>
        <w:ind w:left="3600" w:hanging="3600"/>
        <w:rPr>
          <w:lang w:val="nl-NL"/>
        </w:rPr>
      </w:pPr>
      <w:r w:rsidRPr="0088594C">
        <w:rPr>
          <w:b/>
          <w:lang w:val="nl-NL"/>
        </w:rPr>
        <w:t>Basishandeling</w:t>
      </w:r>
      <w:r w:rsidRPr="0088594C">
        <w:rPr>
          <w:b/>
          <w:lang w:val="nl-NL"/>
        </w:rPr>
        <w:tab/>
      </w:r>
      <w:r w:rsidR="00A62CC1">
        <w:rPr>
          <w:lang w:val="nl-NL"/>
        </w:rPr>
        <w:t xml:space="preserve">Handeling </w:t>
      </w:r>
      <w:r w:rsidR="00B37F2C" w:rsidRPr="00B37F2C">
        <w:rPr>
          <w:lang w:val="nl-NL"/>
        </w:rPr>
        <w:t>(</w:t>
      </w:r>
      <w:r w:rsidR="00114583" w:rsidRPr="00B37F2C">
        <w:rPr>
          <w:lang w:val="nl-NL"/>
        </w:rPr>
        <w:t>verordening, richtlijn of besluit</w:t>
      </w:r>
      <w:r w:rsidR="00B37F2C" w:rsidRPr="00B37F2C">
        <w:rPr>
          <w:lang w:val="nl-NL"/>
        </w:rPr>
        <w:t>)</w:t>
      </w:r>
      <w:r w:rsidR="00114583" w:rsidRPr="00B37F2C">
        <w:rPr>
          <w:lang w:val="nl-NL"/>
        </w:rPr>
        <w:t xml:space="preserve"> waarop een gedelegeerde of uit</w:t>
      </w:r>
      <w:r w:rsidR="00C724EE">
        <w:rPr>
          <w:lang w:val="nl-NL"/>
        </w:rPr>
        <w:t xml:space="preserve">voeringshandeling is gebaseerd. </w:t>
      </w:r>
    </w:p>
    <w:p w:rsidR="00921BAF" w:rsidRDefault="00921BAF" w:rsidP="00191321">
      <w:pPr>
        <w:ind w:left="3600" w:hanging="3600"/>
        <w:rPr>
          <w:lang w:val="nl-NL"/>
        </w:rPr>
      </w:pPr>
    </w:p>
    <w:p w:rsidR="00921BAF" w:rsidRPr="00512B94" w:rsidRDefault="00921BAF" w:rsidP="00191321">
      <w:pPr>
        <w:ind w:left="3600" w:hanging="3600"/>
        <w:rPr>
          <w:b/>
          <w:lang w:val="nl-NL"/>
        </w:rPr>
      </w:pPr>
      <w:r>
        <w:rPr>
          <w:b/>
          <w:lang w:val="nl-NL"/>
        </w:rPr>
        <w:t>Bevoegdheidsdelegatie</w:t>
      </w:r>
      <w:r>
        <w:rPr>
          <w:b/>
          <w:lang w:val="nl-NL"/>
        </w:rPr>
        <w:tab/>
      </w:r>
      <w:r>
        <w:rPr>
          <w:lang w:val="nl-NL"/>
        </w:rPr>
        <w:t xml:space="preserve">Zie ‘delegatie’. </w:t>
      </w:r>
    </w:p>
    <w:p w:rsidR="00D10242" w:rsidRPr="00512B94" w:rsidRDefault="00D10242" w:rsidP="00191321">
      <w:pPr>
        <w:ind w:left="3600" w:hanging="3600"/>
        <w:rPr>
          <w:b/>
          <w:lang w:val="nl-NL"/>
        </w:rPr>
      </w:pPr>
    </w:p>
    <w:p w:rsidR="004D5E45" w:rsidRPr="00512B94" w:rsidRDefault="004D5E45" w:rsidP="00191321">
      <w:pPr>
        <w:ind w:left="3600" w:hanging="3600"/>
        <w:rPr>
          <w:lang w:val="nl-NL"/>
        </w:rPr>
      </w:pPr>
      <w:r w:rsidRPr="009C3165">
        <w:rPr>
          <w:b/>
          <w:lang w:val="nl-NL"/>
        </w:rPr>
        <w:t>Comité van beroep</w:t>
      </w:r>
      <w:r w:rsidR="002653D2">
        <w:rPr>
          <w:b/>
          <w:lang w:val="nl-NL"/>
        </w:rPr>
        <w:tab/>
      </w:r>
      <w:r w:rsidR="00512B94" w:rsidRPr="00944F71">
        <w:rPr>
          <w:szCs w:val="18"/>
          <w:lang w:val="nl-NL"/>
        </w:rPr>
        <w:t xml:space="preserve">Comité dat de Commissie </w:t>
      </w:r>
      <w:r w:rsidR="00512B94">
        <w:rPr>
          <w:szCs w:val="18"/>
          <w:lang w:val="nl-NL"/>
        </w:rPr>
        <w:t xml:space="preserve">in tweede instantie (na negatief advies van het </w:t>
      </w:r>
      <w:proofErr w:type="spellStart"/>
      <w:r w:rsidR="00512B94">
        <w:rPr>
          <w:szCs w:val="18"/>
          <w:lang w:val="nl-NL"/>
        </w:rPr>
        <w:t>onderzoekscomité</w:t>
      </w:r>
      <w:proofErr w:type="spellEnd"/>
      <w:r w:rsidR="00512B94">
        <w:rPr>
          <w:szCs w:val="18"/>
          <w:lang w:val="nl-NL"/>
        </w:rPr>
        <w:t xml:space="preserve">) </w:t>
      </w:r>
      <w:r w:rsidR="00512B94" w:rsidRPr="00944F71">
        <w:rPr>
          <w:szCs w:val="18"/>
          <w:lang w:val="nl-NL"/>
        </w:rPr>
        <w:t xml:space="preserve">adviseert over de vast te stellen uitvoeringshandeling in het kader van de </w:t>
      </w:r>
      <w:r w:rsidR="00512B94" w:rsidRPr="00512B94">
        <w:rPr>
          <w:szCs w:val="18"/>
          <w:lang w:val="nl-NL"/>
        </w:rPr>
        <w:t>on</w:t>
      </w:r>
      <w:r w:rsidR="00512B94" w:rsidRPr="00944F71">
        <w:rPr>
          <w:szCs w:val="18"/>
          <w:lang w:val="nl-NL"/>
        </w:rPr>
        <w:t>derzoeksprocedure.</w:t>
      </w:r>
      <w:r w:rsidR="00512B94">
        <w:rPr>
          <w:szCs w:val="18"/>
          <w:lang w:val="nl-NL"/>
        </w:rPr>
        <w:t xml:space="preserve"> </w:t>
      </w:r>
      <w:r w:rsidR="00C724EE" w:rsidRPr="001F5166">
        <w:rPr>
          <w:color w:val="000000" w:themeColor="text1"/>
          <w:szCs w:val="18"/>
          <w:lang w:val="nl-NL"/>
        </w:rPr>
        <w:t xml:space="preserve">Indien </w:t>
      </w:r>
      <w:r w:rsidR="00512B94" w:rsidRPr="001F5166">
        <w:rPr>
          <w:color w:val="000000" w:themeColor="text1"/>
          <w:szCs w:val="18"/>
          <w:lang w:val="nl-NL"/>
        </w:rPr>
        <w:t xml:space="preserve">het comité van beroep </w:t>
      </w:r>
      <w:r w:rsidR="00C724EE" w:rsidRPr="001F5166">
        <w:rPr>
          <w:color w:val="000000" w:themeColor="text1"/>
          <w:szCs w:val="18"/>
          <w:lang w:val="nl-NL"/>
        </w:rPr>
        <w:t xml:space="preserve">ook </w:t>
      </w:r>
      <w:r w:rsidR="00512B94" w:rsidRPr="001F5166">
        <w:rPr>
          <w:color w:val="000000" w:themeColor="text1"/>
          <w:szCs w:val="18"/>
          <w:lang w:val="nl-NL"/>
        </w:rPr>
        <w:t xml:space="preserve">een negatief advies uitbrengt, kan de Commissie de ontwerp-uitvoeringshandeling definitief niet vaststellen. </w:t>
      </w:r>
    </w:p>
    <w:p w:rsidR="003D3FC7" w:rsidRDefault="003D3FC7" w:rsidP="00191321">
      <w:pPr>
        <w:spacing w:after="0"/>
        <w:ind w:left="3600" w:hanging="3600"/>
        <w:rPr>
          <w:lang w:val="nl-NL"/>
        </w:rPr>
      </w:pPr>
    </w:p>
    <w:p w:rsidR="003D3FC7" w:rsidRDefault="00512B94" w:rsidP="001F5166">
      <w:pPr>
        <w:spacing w:after="0"/>
        <w:ind w:left="3600" w:hanging="3600"/>
        <w:rPr>
          <w:lang w:val="nl-NL"/>
        </w:rPr>
      </w:pPr>
      <w:r>
        <w:rPr>
          <w:b/>
          <w:lang w:val="nl-NL"/>
        </w:rPr>
        <w:t>(</w:t>
      </w:r>
      <w:proofErr w:type="spellStart"/>
      <w:r>
        <w:rPr>
          <w:b/>
          <w:lang w:val="nl-NL"/>
        </w:rPr>
        <w:t>C</w:t>
      </w:r>
      <w:r w:rsidR="003D3FC7" w:rsidRPr="001870CD">
        <w:rPr>
          <w:b/>
          <w:lang w:val="nl-NL"/>
        </w:rPr>
        <w:t>omitologie</w:t>
      </w:r>
      <w:proofErr w:type="spellEnd"/>
      <w:r w:rsidR="003D3FC7" w:rsidRPr="001870CD">
        <w:rPr>
          <w:b/>
          <w:lang w:val="nl-NL"/>
        </w:rPr>
        <w:t>)comités</w:t>
      </w:r>
      <w:r w:rsidR="003D3FC7">
        <w:rPr>
          <w:lang w:val="nl-NL"/>
        </w:rPr>
        <w:t xml:space="preserve">    </w:t>
      </w:r>
      <w:r w:rsidR="003D3FC7">
        <w:rPr>
          <w:lang w:val="nl-NL"/>
        </w:rPr>
        <w:tab/>
      </w:r>
      <w:r w:rsidR="00191321">
        <w:rPr>
          <w:lang w:val="nl-NL"/>
        </w:rPr>
        <w:t xml:space="preserve">Comités </w:t>
      </w:r>
      <w:r w:rsidR="00A14399">
        <w:rPr>
          <w:lang w:val="nl-NL"/>
        </w:rPr>
        <w:t xml:space="preserve">bestaande uit vertegenwoordigers van de lidstaten </w:t>
      </w:r>
      <w:r w:rsidR="00191321">
        <w:rPr>
          <w:lang w:val="nl-NL"/>
        </w:rPr>
        <w:t xml:space="preserve">die </w:t>
      </w:r>
      <w:r w:rsidR="003D3FC7">
        <w:rPr>
          <w:lang w:val="nl-NL"/>
        </w:rPr>
        <w:t xml:space="preserve">de </w:t>
      </w:r>
      <w:proofErr w:type="gramStart"/>
      <w:r w:rsidR="003D3FC7">
        <w:rPr>
          <w:lang w:val="nl-NL"/>
        </w:rPr>
        <w:t xml:space="preserve">Commissie  </w:t>
      </w:r>
      <w:proofErr w:type="gramEnd"/>
      <w:r w:rsidR="00A14399">
        <w:rPr>
          <w:lang w:val="nl-NL"/>
        </w:rPr>
        <w:t xml:space="preserve">bijstaan (lees: </w:t>
      </w:r>
      <w:r w:rsidR="003D3FC7">
        <w:rPr>
          <w:lang w:val="nl-NL"/>
        </w:rPr>
        <w:t>controleren</w:t>
      </w:r>
      <w:r w:rsidR="00A14399">
        <w:rPr>
          <w:lang w:val="nl-NL"/>
        </w:rPr>
        <w:t>)</w:t>
      </w:r>
      <w:r w:rsidR="003D3FC7">
        <w:rPr>
          <w:lang w:val="nl-NL"/>
        </w:rPr>
        <w:t xml:space="preserve"> bij het vaststellen van uitvoeringshandelingen</w:t>
      </w:r>
    </w:p>
    <w:p w:rsidR="00512B94" w:rsidRDefault="00512B94" w:rsidP="00191321">
      <w:pPr>
        <w:ind w:left="3600" w:hanging="3600"/>
        <w:rPr>
          <w:b/>
          <w:lang w:val="nl-NL"/>
        </w:rPr>
      </w:pPr>
    </w:p>
    <w:p w:rsidR="008D2146" w:rsidRPr="000C360A" w:rsidRDefault="00E80303" w:rsidP="000C360A">
      <w:pPr>
        <w:ind w:left="3600" w:hanging="3600"/>
        <w:rPr>
          <w:color w:val="FF0000"/>
          <w:lang w:val="nl-NL"/>
        </w:rPr>
      </w:pPr>
      <w:proofErr w:type="spellStart"/>
      <w:r w:rsidRPr="0088594C">
        <w:rPr>
          <w:b/>
          <w:lang w:val="nl-NL"/>
        </w:rPr>
        <w:t>Comitologie</w:t>
      </w:r>
      <w:proofErr w:type="spellEnd"/>
      <w:r w:rsidRPr="0088594C">
        <w:rPr>
          <w:b/>
          <w:lang w:val="nl-NL"/>
        </w:rPr>
        <w:t xml:space="preserve"> </w:t>
      </w:r>
      <w:r w:rsidR="00775482">
        <w:rPr>
          <w:lang w:val="nl-NL"/>
        </w:rPr>
        <w:tab/>
      </w:r>
      <w:proofErr w:type="spellStart"/>
      <w:r w:rsidR="000C360A">
        <w:rPr>
          <w:lang w:val="nl-NL"/>
        </w:rPr>
        <w:t>Comitologie</w:t>
      </w:r>
      <w:proofErr w:type="spellEnd"/>
      <w:r w:rsidR="000C360A">
        <w:rPr>
          <w:lang w:val="nl-NL"/>
        </w:rPr>
        <w:t xml:space="preserve"> is h</w:t>
      </w:r>
      <w:r>
        <w:rPr>
          <w:lang w:val="nl-NL"/>
        </w:rPr>
        <w:t>et geheel aan procedureregels</w:t>
      </w:r>
      <w:r w:rsidR="008D2146">
        <w:rPr>
          <w:lang w:val="nl-NL"/>
        </w:rPr>
        <w:t>, het mechanisme (of proces)</w:t>
      </w:r>
      <w:r>
        <w:rPr>
          <w:lang w:val="nl-NL"/>
        </w:rPr>
        <w:t xml:space="preserve"> op grond waarvan uitvoeringshandelingen worden vastgesteld.</w:t>
      </w:r>
      <w:r w:rsidR="00A14399">
        <w:rPr>
          <w:lang w:val="nl-NL"/>
        </w:rPr>
        <w:t xml:space="preserve"> Dit verloopt via comités, vandaar de term.</w:t>
      </w:r>
      <w:r w:rsidR="00217DB1">
        <w:rPr>
          <w:lang w:val="nl-NL"/>
        </w:rPr>
        <w:t xml:space="preserve"> </w:t>
      </w:r>
      <w:r w:rsidR="008D2146" w:rsidRPr="00BE1684">
        <w:rPr>
          <w:color w:val="000000" w:themeColor="text1"/>
          <w:lang w:val="nl-NL"/>
        </w:rPr>
        <w:t xml:space="preserve">De term </w:t>
      </w:r>
      <w:proofErr w:type="spellStart"/>
      <w:r w:rsidR="008D2146" w:rsidRPr="00BE1684">
        <w:rPr>
          <w:color w:val="000000" w:themeColor="text1"/>
          <w:lang w:val="nl-NL"/>
        </w:rPr>
        <w:t>comitologie</w:t>
      </w:r>
      <w:proofErr w:type="spellEnd"/>
      <w:r w:rsidR="008D2146" w:rsidRPr="00BE1684">
        <w:rPr>
          <w:color w:val="000000" w:themeColor="text1"/>
          <w:lang w:val="nl-NL"/>
        </w:rPr>
        <w:t xml:space="preserve"> wordt niet gebruikt in de Verdragen of in lagere regelgeving, maar is wel gemeengoed in de Brusselse onderhandelingspraktijk.</w:t>
      </w:r>
    </w:p>
    <w:p w:rsidR="006C0428" w:rsidRDefault="006C0428" w:rsidP="00191321">
      <w:pPr>
        <w:ind w:left="3600"/>
        <w:rPr>
          <w:lang w:val="nl-NL"/>
        </w:rPr>
      </w:pPr>
    </w:p>
    <w:p w:rsidR="006C0428" w:rsidRDefault="006C0428" w:rsidP="00191321">
      <w:pPr>
        <w:ind w:left="3600" w:hanging="3600"/>
        <w:rPr>
          <w:lang w:val="nl-NL"/>
        </w:rPr>
      </w:pPr>
      <w:proofErr w:type="spellStart"/>
      <w:r>
        <w:rPr>
          <w:b/>
          <w:lang w:val="nl-NL"/>
        </w:rPr>
        <w:t>Comitologieverordening</w:t>
      </w:r>
      <w:proofErr w:type="spellEnd"/>
      <w:r>
        <w:rPr>
          <w:b/>
          <w:lang w:val="nl-NL"/>
        </w:rPr>
        <w:tab/>
      </w:r>
      <w:r w:rsidR="005F778C">
        <w:rPr>
          <w:lang w:val="nl-NL"/>
        </w:rPr>
        <w:t>V</w:t>
      </w:r>
      <w:r>
        <w:rPr>
          <w:lang w:val="nl-NL"/>
        </w:rPr>
        <w:t>erordening 182/2011. Hierin</w:t>
      </w:r>
      <w:r w:rsidR="005F778C">
        <w:rPr>
          <w:lang w:val="nl-NL"/>
        </w:rPr>
        <w:t xml:space="preserve"> staan de algemene voorschriften en beginselen die van toepassing zijn op </w:t>
      </w:r>
      <w:proofErr w:type="spellStart"/>
      <w:r w:rsidR="005F778C">
        <w:rPr>
          <w:lang w:val="nl-NL"/>
        </w:rPr>
        <w:t>Comitologie</w:t>
      </w:r>
      <w:proofErr w:type="spellEnd"/>
      <w:r w:rsidR="00217DB1">
        <w:rPr>
          <w:lang w:val="nl-NL"/>
        </w:rPr>
        <w:t>.</w:t>
      </w:r>
      <w:r w:rsidR="005F778C">
        <w:rPr>
          <w:lang w:val="nl-NL"/>
        </w:rPr>
        <w:t xml:space="preserve"> De verordening regelt onder andere de keuze en de werking van de </w:t>
      </w:r>
      <w:proofErr w:type="gramStart"/>
      <w:r w:rsidR="005F778C">
        <w:rPr>
          <w:lang w:val="nl-NL"/>
        </w:rPr>
        <w:t xml:space="preserve">procedures.  </w:t>
      </w:r>
      <w:r>
        <w:rPr>
          <w:lang w:val="nl-NL"/>
        </w:rPr>
        <w:t xml:space="preserve"> </w:t>
      </w:r>
      <w:proofErr w:type="gramEnd"/>
    </w:p>
    <w:p w:rsidR="006C0428" w:rsidRPr="006C0428" w:rsidRDefault="006C0428" w:rsidP="00191321">
      <w:pPr>
        <w:ind w:left="3600" w:hanging="3600"/>
        <w:rPr>
          <w:lang w:val="nl-NL"/>
        </w:rPr>
      </w:pPr>
    </w:p>
    <w:p w:rsidR="00114583" w:rsidRDefault="00114583" w:rsidP="00191321">
      <w:pPr>
        <w:ind w:left="3600" w:hanging="3600"/>
        <w:rPr>
          <w:b/>
          <w:lang w:val="nl-NL"/>
        </w:rPr>
      </w:pPr>
      <w:r w:rsidRPr="009A680F">
        <w:rPr>
          <w:b/>
        </w:rPr>
        <w:t>Common understanding (CU)</w:t>
      </w:r>
      <w:r w:rsidRPr="009A680F">
        <w:rPr>
          <w:b/>
        </w:rPr>
        <w:tab/>
      </w:r>
      <w:proofErr w:type="spellStart"/>
      <w:r w:rsidR="009D6F32">
        <w:t>O</w:t>
      </w:r>
      <w:r w:rsidR="009A680F" w:rsidRPr="009A680F">
        <w:t>ok</w:t>
      </w:r>
      <w:proofErr w:type="spellEnd"/>
      <w:r w:rsidR="009A680F" w:rsidRPr="009A680F">
        <w:t xml:space="preserve">: </w:t>
      </w:r>
      <w:r w:rsidRPr="009A680F">
        <w:t>‘consensus’</w:t>
      </w:r>
      <w:r w:rsidR="009A680F" w:rsidRPr="009A680F">
        <w:t xml:space="preserve">. </w:t>
      </w:r>
      <w:r w:rsidR="00842156">
        <w:rPr>
          <w:lang w:val="nl-NL"/>
        </w:rPr>
        <w:t xml:space="preserve">Praktische </w:t>
      </w:r>
      <w:r w:rsidR="00CD76DF">
        <w:rPr>
          <w:lang w:val="nl-NL"/>
        </w:rPr>
        <w:t xml:space="preserve">(juridisch </w:t>
      </w:r>
      <w:proofErr w:type="gramStart"/>
      <w:r w:rsidR="00CD76DF">
        <w:rPr>
          <w:lang w:val="nl-NL"/>
        </w:rPr>
        <w:t xml:space="preserve">niet-bindende)  </w:t>
      </w:r>
      <w:proofErr w:type="gramEnd"/>
      <w:r w:rsidR="00842156">
        <w:rPr>
          <w:lang w:val="nl-NL"/>
        </w:rPr>
        <w:t xml:space="preserve">afspraken gemaakt door de EU-instellingen (Raad, EP en </w:t>
      </w:r>
      <w:r w:rsidR="00842156">
        <w:rPr>
          <w:lang w:val="nl-NL"/>
        </w:rPr>
        <w:lastRenderedPageBreak/>
        <w:t xml:space="preserve">Commissie) over de toepassing in de praktijk van art. 290 VWEU (delegatie). </w:t>
      </w:r>
      <w:r w:rsidR="005F778C">
        <w:rPr>
          <w:lang w:val="nl-NL"/>
        </w:rPr>
        <w:t xml:space="preserve">Raadsdocument </w:t>
      </w:r>
      <w:r w:rsidR="005F778C" w:rsidRPr="005F778C">
        <w:rPr>
          <w:lang w:val="nl-NL"/>
        </w:rPr>
        <w:t>8753/11</w:t>
      </w:r>
      <w:r>
        <w:rPr>
          <w:b/>
          <w:lang w:val="nl-NL"/>
        </w:rPr>
        <w:tab/>
      </w:r>
      <w:r>
        <w:rPr>
          <w:b/>
          <w:lang w:val="nl-NL"/>
        </w:rPr>
        <w:tab/>
      </w:r>
    </w:p>
    <w:p w:rsidR="00E80303" w:rsidRDefault="00E80303" w:rsidP="00191321">
      <w:pPr>
        <w:ind w:left="3600" w:hanging="3600"/>
        <w:rPr>
          <w:lang w:val="nl-NL"/>
        </w:rPr>
      </w:pPr>
    </w:p>
    <w:p w:rsidR="00191321" w:rsidRDefault="00775482" w:rsidP="00191321">
      <w:pPr>
        <w:ind w:left="3600" w:hanging="3600"/>
        <w:rPr>
          <w:lang w:val="nl-NL"/>
        </w:rPr>
      </w:pPr>
      <w:r w:rsidRPr="0088594C">
        <w:rPr>
          <w:b/>
          <w:lang w:val="nl-NL"/>
        </w:rPr>
        <w:t>Delegatie</w:t>
      </w:r>
      <w:r>
        <w:rPr>
          <w:lang w:val="nl-NL"/>
        </w:rPr>
        <w:tab/>
      </w:r>
      <w:r w:rsidR="0012033A">
        <w:rPr>
          <w:lang w:val="nl-NL"/>
        </w:rPr>
        <w:t>O</w:t>
      </w:r>
      <w:r w:rsidR="00F75A5E">
        <w:rPr>
          <w:lang w:val="nl-NL"/>
        </w:rPr>
        <w:t xml:space="preserve">ok: ‘bevoegdheidsdelegatie’. </w:t>
      </w:r>
      <w:r w:rsidR="000C360A">
        <w:rPr>
          <w:lang w:val="nl-NL"/>
        </w:rPr>
        <w:t>N</w:t>
      </w:r>
      <w:r w:rsidR="006C1C83" w:rsidRPr="000C360A">
        <w:rPr>
          <w:lang w:val="nl-NL"/>
        </w:rPr>
        <w:t>adere uitwerking van EU-wetgeving</w:t>
      </w:r>
      <w:r w:rsidR="00217DB1">
        <w:rPr>
          <w:lang w:val="nl-NL"/>
        </w:rPr>
        <w:t xml:space="preserve">. </w:t>
      </w:r>
      <w:r w:rsidR="00191321">
        <w:rPr>
          <w:lang w:val="nl-NL"/>
        </w:rPr>
        <w:t xml:space="preserve">Op grond van art. 290 VWEU kan de wetgever </w:t>
      </w:r>
      <w:r w:rsidR="00DA51F1">
        <w:rPr>
          <w:lang w:val="nl-NL"/>
        </w:rPr>
        <w:t>(</w:t>
      </w:r>
      <w:r w:rsidR="00191321">
        <w:rPr>
          <w:lang w:val="nl-NL"/>
        </w:rPr>
        <w:t>Raad/EP of Raad) aan de Commissie de bevoegdheid overdragen</w:t>
      </w:r>
      <w:r w:rsidR="00A34DAE">
        <w:rPr>
          <w:lang w:val="nl-NL"/>
        </w:rPr>
        <w:t xml:space="preserve"> (delegeren)</w:t>
      </w:r>
      <w:r w:rsidR="00191321">
        <w:rPr>
          <w:lang w:val="nl-NL"/>
        </w:rPr>
        <w:t xml:space="preserve"> om </w:t>
      </w:r>
      <w:r w:rsidR="00DA51F1">
        <w:rPr>
          <w:lang w:val="nl-NL"/>
        </w:rPr>
        <w:t xml:space="preserve">detailregelgeving vast te stellen met als doel de wetgevingshandeling aan te vullen of te wijzigen. </w:t>
      </w:r>
      <w:r w:rsidR="00191321">
        <w:rPr>
          <w:lang w:val="nl-NL"/>
        </w:rPr>
        <w:t xml:space="preserve">Zie ook </w:t>
      </w:r>
      <w:r w:rsidR="00DA51F1">
        <w:rPr>
          <w:lang w:val="nl-NL"/>
        </w:rPr>
        <w:t>‘</w:t>
      </w:r>
      <w:r w:rsidR="00191321">
        <w:rPr>
          <w:lang w:val="nl-NL"/>
        </w:rPr>
        <w:t>gedelegeerde handelingen</w:t>
      </w:r>
      <w:r w:rsidR="00DA51F1">
        <w:rPr>
          <w:lang w:val="nl-NL"/>
        </w:rPr>
        <w:t>’</w:t>
      </w:r>
      <w:r w:rsidR="00191321">
        <w:rPr>
          <w:lang w:val="nl-NL"/>
        </w:rPr>
        <w:t xml:space="preserve">. </w:t>
      </w:r>
    </w:p>
    <w:p w:rsidR="00DF6197" w:rsidRDefault="00DF6197" w:rsidP="00191321">
      <w:pPr>
        <w:ind w:left="3600" w:hanging="3600"/>
        <w:rPr>
          <w:b/>
          <w:lang w:val="nl-NL"/>
        </w:rPr>
      </w:pPr>
    </w:p>
    <w:p w:rsidR="00DF6197" w:rsidRPr="00784966" w:rsidRDefault="00DF6197" w:rsidP="00191321">
      <w:pPr>
        <w:ind w:left="3600" w:hanging="3600"/>
        <w:rPr>
          <w:color w:val="FF0000"/>
          <w:lang w:val="nl-NL"/>
        </w:rPr>
      </w:pPr>
      <w:r>
        <w:rPr>
          <w:b/>
          <w:lang w:val="nl-NL"/>
        </w:rPr>
        <w:t>Essentiële onderdelen</w:t>
      </w:r>
      <w:r>
        <w:rPr>
          <w:b/>
          <w:lang w:val="nl-NL"/>
        </w:rPr>
        <w:tab/>
      </w:r>
      <w:r>
        <w:rPr>
          <w:lang w:val="nl-NL"/>
        </w:rPr>
        <w:t xml:space="preserve">Onderdelen die niet kunnen worden uitgewerkt in een gedelegeerde handeling of uitvoeringshandeling, maar in de basishandeling zelf geregeld moeten worden. </w:t>
      </w:r>
      <w:r w:rsidR="00784966" w:rsidRPr="00151FD5">
        <w:rPr>
          <w:color w:val="000000" w:themeColor="text1"/>
          <w:lang w:val="nl-NL"/>
        </w:rPr>
        <w:t xml:space="preserve">Wat essentieel is, is Europeesrechtelijk (nog) niet exact ingevuld en wordt grotendeels bepaald door de politiek. De beoordeling welke onderdelen “essentieel” zijn, is vatbaar voor juridische toetsing door het </w:t>
      </w:r>
      <w:proofErr w:type="spellStart"/>
      <w:r w:rsidR="00784966" w:rsidRPr="00151FD5">
        <w:rPr>
          <w:color w:val="000000" w:themeColor="text1"/>
          <w:lang w:val="nl-NL"/>
        </w:rPr>
        <w:t>HvJEU</w:t>
      </w:r>
      <w:proofErr w:type="spellEnd"/>
      <w:r w:rsidR="00784966" w:rsidRPr="00151FD5">
        <w:rPr>
          <w:color w:val="000000" w:themeColor="text1"/>
          <w:lang w:val="nl-NL"/>
        </w:rPr>
        <w:t xml:space="preserve">. Het Hof geeft aan dat een onderdeel essentieel is wanneer daarin een politieke afweging gemaakt moet worden. Ook is een bepaling essentieel indien daarmee een belangrijke inmenging in grondrechten mogelijk wordt gemaakt. </w:t>
      </w:r>
    </w:p>
    <w:p w:rsidR="00191321" w:rsidRDefault="00191321" w:rsidP="00191321">
      <w:pPr>
        <w:ind w:left="3600" w:hanging="3600"/>
        <w:rPr>
          <w:lang w:val="nl-NL"/>
        </w:rPr>
      </w:pPr>
    </w:p>
    <w:p w:rsidR="00777EFF" w:rsidRDefault="00CA2CD8" w:rsidP="00191321">
      <w:pPr>
        <w:ind w:left="3600" w:hanging="3600"/>
        <w:rPr>
          <w:lang w:val="nl-NL"/>
        </w:rPr>
      </w:pPr>
      <w:r>
        <w:rPr>
          <w:b/>
          <w:lang w:val="nl-NL"/>
        </w:rPr>
        <w:t>Gedelegeerde handeling</w:t>
      </w:r>
      <w:r>
        <w:rPr>
          <w:b/>
          <w:lang w:val="nl-NL"/>
        </w:rPr>
        <w:tab/>
      </w:r>
      <w:r w:rsidR="009D6F32">
        <w:rPr>
          <w:lang w:val="nl-NL"/>
        </w:rPr>
        <w:t>Door de Commissie vastgestelde h</w:t>
      </w:r>
      <w:r w:rsidR="00316856">
        <w:rPr>
          <w:lang w:val="nl-NL"/>
        </w:rPr>
        <w:t>andeling van algemene strekking, die zijn oor</w:t>
      </w:r>
      <w:r w:rsidR="00D73CAF">
        <w:rPr>
          <w:lang w:val="nl-NL"/>
        </w:rPr>
        <w:t>s</w:t>
      </w:r>
      <w:r w:rsidR="00316856">
        <w:rPr>
          <w:lang w:val="nl-NL"/>
        </w:rPr>
        <w:t>prong vindt in een wetgevingshandeling, en niet-essentiële onderdelen van de basishandeling aanvult of wijzigt.</w:t>
      </w:r>
      <w:r w:rsidR="009D6F32">
        <w:rPr>
          <w:lang w:val="nl-NL"/>
        </w:rPr>
        <w:t xml:space="preserve"> </w:t>
      </w:r>
      <w:r w:rsidR="00191321">
        <w:rPr>
          <w:lang w:val="nl-NL"/>
        </w:rPr>
        <w:tab/>
      </w:r>
      <w:r w:rsidR="00191321" w:rsidRPr="00151FD5">
        <w:rPr>
          <w:lang w:val="nl-NL"/>
        </w:rPr>
        <w:t xml:space="preserve">Niet </w:t>
      </w:r>
      <w:r w:rsidR="008361CE" w:rsidRPr="00151FD5">
        <w:rPr>
          <w:lang w:val="nl-NL"/>
        </w:rPr>
        <w:t>te verwarren met</w:t>
      </w:r>
      <w:r w:rsidR="00191321" w:rsidRPr="00151FD5">
        <w:rPr>
          <w:lang w:val="nl-NL"/>
        </w:rPr>
        <w:t xml:space="preserve"> een uitvoeringshandeling.</w:t>
      </w:r>
    </w:p>
    <w:p w:rsidR="00780838" w:rsidRPr="00780838" w:rsidRDefault="00780838" w:rsidP="00780838">
      <w:pPr>
        <w:spacing w:after="0"/>
        <w:ind w:left="3600" w:hanging="3600"/>
        <w:rPr>
          <w:b/>
          <w:lang w:val="nl-NL"/>
        </w:rPr>
      </w:pPr>
      <w:r w:rsidRPr="00780838">
        <w:rPr>
          <w:b/>
          <w:lang w:val="nl-NL"/>
        </w:rPr>
        <w:tab/>
      </w:r>
    </w:p>
    <w:p w:rsidR="00191321" w:rsidRDefault="00921BAF" w:rsidP="00191321">
      <w:pPr>
        <w:ind w:left="3600" w:hanging="3600"/>
        <w:rPr>
          <w:lang w:val="nl-NL"/>
        </w:rPr>
      </w:pPr>
      <w:r>
        <w:rPr>
          <w:b/>
          <w:lang w:val="nl-NL"/>
        </w:rPr>
        <w:t>Horizon bepaling</w:t>
      </w:r>
      <w:r>
        <w:rPr>
          <w:b/>
          <w:lang w:val="nl-NL"/>
        </w:rPr>
        <w:tab/>
      </w:r>
      <w:r w:rsidR="00151FD5" w:rsidRPr="00151FD5">
        <w:rPr>
          <w:lang w:val="nl-NL"/>
        </w:rPr>
        <w:t>O</w:t>
      </w:r>
      <w:r w:rsidR="00151FD5" w:rsidRPr="00AA7632">
        <w:rPr>
          <w:lang w:val="nl-NL"/>
        </w:rPr>
        <w:t>ok: ‘</w:t>
      </w:r>
      <w:proofErr w:type="spellStart"/>
      <w:r w:rsidR="00151FD5" w:rsidRPr="00151FD5">
        <w:rPr>
          <w:lang w:val="nl-NL"/>
        </w:rPr>
        <w:t>sunset</w:t>
      </w:r>
      <w:proofErr w:type="spellEnd"/>
      <w:r w:rsidR="00151FD5" w:rsidRPr="00151FD5">
        <w:rPr>
          <w:lang w:val="nl-NL"/>
        </w:rPr>
        <w:t xml:space="preserve"> clausule’</w:t>
      </w:r>
      <w:r w:rsidR="00151FD5" w:rsidRPr="00AA7632">
        <w:rPr>
          <w:lang w:val="nl-NL"/>
        </w:rPr>
        <w:t xml:space="preserve">. </w:t>
      </w:r>
      <w:r w:rsidR="00151FD5">
        <w:rPr>
          <w:lang w:val="nl-NL"/>
        </w:rPr>
        <w:t>Bepaling in de basishandeling waaruit blijkt dat de gedelegeerde bevoegdheid na een bepaalde periode automatisch komt te vervallen (delegatiebevoegdheid voor bepaalde tijd).</w:t>
      </w:r>
    </w:p>
    <w:p w:rsidR="00217DB1" w:rsidRDefault="00217DB1" w:rsidP="00191321">
      <w:pPr>
        <w:ind w:left="3600" w:hanging="3600"/>
        <w:rPr>
          <w:b/>
          <w:lang w:val="nl-NL"/>
        </w:rPr>
      </w:pPr>
    </w:p>
    <w:p w:rsidR="00777EFF" w:rsidRDefault="00F75A5E" w:rsidP="00191321">
      <w:pPr>
        <w:ind w:left="3600" w:hanging="3600"/>
        <w:rPr>
          <w:lang w:val="nl-NL"/>
        </w:rPr>
      </w:pPr>
      <w:r>
        <w:rPr>
          <w:b/>
          <w:lang w:val="nl-NL"/>
        </w:rPr>
        <w:t>Intrekkingsrecht</w:t>
      </w:r>
      <w:r>
        <w:rPr>
          <w:b/>
          <w:lang w:val="nl-NL"/>
        </w:rPr>
        <w:tab/>
      </w:r>
      <w:r w:rsidR="0012033A">
        <w:rPr>
          <w:lang w:val="nl-NL"/>
        </w:rPr>
        <w:t>R</w:t>
      </w:r>
      <w:r>
        <w:rPr>
          <w:lang w:val="nl-NL"/>
        </w:rPr>
        <w:t xml:space="preserve">echt van de Raad of EP om de bevoegdheidsdelegatie </w:t>
      </w:r>
      <w:r w:rsidR="00921BAF">
        <w:rPr>
          <w:lang w:val="nl-NL"/>
        </w:rPr>
        <w:t xml:space="preserve">in te trekken. </w:t>
      </w:r>
      <w:r>
        <w:rPr>
          <w:lang w:val="nl-NL"/>
        </w:rPr>
        <w:t>Het gaat hierbij niet om het intrekken van de gedelegeerde h</w:t>
      </w:r>
      <w:r w:rsidR="00EB167C">
        <w:rPr>
          <w:lang w:val="nl-NL"/>
        </w:rPr>
        <w:t>andeling zelf, maar om</w:t>
      </w:r>
      <w:r>
        <w:rPr>
          <w:lang w:val="nl-NL"/>
        </w:rPr>
        <w:t xml:space="preserve"> het intrekken van de, aan de Commissie toegekende bevoegdheid tot het vaststellen van gedelegeerde handelingen. </w:t>
      </w:r>
    </w:p>
    <w:p w:rsidR="007D6E2C" w:rsidRDefault="007D6E2C" w:rsidP="00191321">
      <w:pPr>
        <w:ind w:left="3600" w:hanging="3600"/>
        <w:rPr>
          <w:lang w:val="nl-NL"/>
        </w:rPr>
      </w:pPr>
    </w:p>
    <w:p w:rsidR="007D6E2C" w:rsidRDefault="006866B0" w:rsidP="007D6E2C">
      <w:pPr>
        <w:ind w:left="3600" w:hanging="3600"/>
        <w:rPr>
          <w:lang w:val="nl-NL"/>
        </w:rPr>
      </w:pPr>
      <w:r>
        <w:rPr>
          <w:b/>
          <w:lang w:val="nl-NL"/>
        </w:rPr>
        <w:t>Niet-</w:t>
      </w:r>
      <w:r w:rsidR="007D6E2C" w:rsidRPr="007D6E2C">
        <w:rPr>
          <w:b/>
          <w:lang w:val="nl-NL"/>
        </w:rPr>
        <w:t>essentiële onderdelen</w:t>
      </w:r>
      <w:r w:rsidR="007D6E2C">
        <w:rPr>
          <w:b/>
          <w:lang w:val="nl-NL"/>
        </w:rPr>
        <w:tab/>
      </w:r>
      <w:proofErr w:type="spellStart"/>
      <w:r w:rsidR="007D6E2C">
        <w:rPr>
          <w:lang w:val="nl-NL"/>
        </w:rPr>
        <w:t>Onderdelen</w:t>
      </w:r>
      <w:proofErr w:type="spellEnd"/>
      <w:r w:rsidR="007D6E2C">
        <w:rPr>
          <w:lang w:val="nl-NL"/>
        </w:rPr>
        <w:t xml:space="preserve"> die kunnen worden uitgewerkt in een gedelegeerde handeling of uitvoeringshandeling. </w:t>
      </w:r>
      <w:r w:rsidR="00FA0CF6">
        <w:rPr>
          <w:lang w:val="nl-NL"/>
        </w:rPr>
        <w:t xml:space="preserve">Deze onderdelen kunnen </w:t>
      </w:r>
      <w:r w:rsidR="007D6E2C">
        <w:rPr>
          <w:lang w:val="nl-NL"/>
        </w:rPr>
        <w:t xml:space="preserve">ook in de basishandeling zelf geregeld worden. </w:t>
      </w:r>
      <w:r w:rsidR="00FA0CF6">
        <w:rPr>
          <w:lang w:val="nl-NL"/>
        </w:rPr>
        <w:t>Dat is de keuze van de EU-wetgever (Raad/EP of Raad).</w:t>
      </w:r>
    </w:p>
    <w:p w:rsidR="00F854D9" w:rsidRPr="00DF6197" w:rsidRDefault="00F854D9" w:rsidP="007D6E2C">
      <w:pPr>
        <w:ind w:left="3600" w:hanging="3600"/>
        <w:rPr>
          <w:lang w:val="nl-NL"/>
        </w:rPr>
      </w:pPr>
    </w:p>
    <w:p w:rsidR="00512B94" w:rsidRPr="006D4FA3" w:rsidRDefault="009C3165" w:rsidP="00512B94">
      <w:pPr>
        <w:pStyle w:val="NormalWeb"/>
        <w:ind w:left="3600" w:hanging="3600"/>
        <w:rPr>
          <w:rFonts w:ascii="Verdana" w:hAnsi="Verdana"/>
          <w:sz w:val="18"/>
          <w:szCs w:val="18"/>
        </w:rPr>
      </w:pPr>
      <w:proofErr w:type="spellStart"/>
      <w:r w:rsidRPr="00944F71">
        <w:rPr>
          <w:rFonts w:ascii="Verdana" w:hAnsi="Verdana"/>
          <w:b/>
          <w:sz w:val="18"/>
          <w:szCs w:val="18"/>
        </w:rPr>
        <w:t>Onderzoekscomité</w:t>
      </w:r>
      <w:proofErr w:type="spellEnd"/>
      <w:r w:rsidR="004E4B29">
        <w:rPr>
          <w:rFonts w:ascii="Verdana" w:hAnsi="Verdana"/>
          <w:b/>
          <w:sz w:val="18"/>
          <w:szCs w:val="18"/>
        </w:rPr>
        <w:t xml:space="preserve"> (OC)</w:t>
      </w:r>
      <w:r w:rsidRPr="00944F71">
        <w:rPr>
          <w:rFonts w:ascii="Verdana" w:hAnsi="Verdana"/>
          <w:b/>
          <w:sz w:val="18"/>
          <w:szCs w:val="18"/>
        </w:rPr>
        <w:tab/>
      </w:r>
      <w:r w:rsidRPr="00944F71">
        <w:rPr>
          <w:rFonts w:ascii="Verdana" w:hAnsi="Verdana"/>
          <w:sz w:val="18"/>
          <w:szCs w:val="18"/>
        </w:rPr>
        <w:t xml:space="preserve">Comité dat de Commissie adviseert over de vast te stellen uitvoeringshandeling in het kader van de </w:t>
      </w:r>
      <w:r w:rsidR="00512B94">
        <w:rPr>
          <w:rFonts w:ascii="Verdana" w:hAnsi="Verdana"/>
          <w:sz w:val="18"/>
          <w:szCs w:val="18"/>
        </w:rPr>
        <w:lastRenderedPageBreak/>
        <w:t>on</w:t>
      </w:r>
      <w:r w:rsidRPr="00944F71">
        <w:rPr>
          <w:rFonts w:ascii="Verdana" w:hAnsi="Verdana"/>
          <w:sz w:val="18"/>
          <w:szCs w:val="18"/>
        </w:rPr>
        <w:t>derzoeksprocedure.</w:t>
      </w:r>
      <w:r w:rsidR="00944F71" w:rsidRPr="00944F71">
        <w:rPr>
          <w:rFonts w:ascii="Verdana" w:hAnsi="Verdana"/>
          <w:sz w:val="18"/>
          <w:szCs w:val="18"/>
        </w:rPr>
        <w:t xml:space="preserve"> Indien het </w:t>
      </w:r>
      <w:proofErr w:type="spellStart"/>
      <w:r w:rsidR="00944F71" w:rsidRPr="00944F71">
        <w:rPr>
          <w:rFonts w:ascii="Verdana" w:hAnsi="Verdana"/>
          <w:sz w:val="18"/>
          <w:szCs w:val="18"/>
        </w:rPr>
        <w:t>onderzoekscomité</w:t>
      </w:r>
      <w:proofErr w:type="spellEnd"/>
      <w:r w:rsidR="00944F71" w:rsidRPr="00944F71">
        <w:rPr>
          <w:rFonts w:ascii="Verdana" w:hAnsi="Verdana"/>
          <w:sz w:val="18"/>
          <w:szCs w:val="18"/>
        </w:rPr>
        <w:t xml:space="preserve"> een negatief advies uitbrengt, is dit bindend en kan de Europese Commissie de maatregel niet vaststellen.</w:t>
      </w:r>
      <w:r w:rsidR="00512B94">
        <w:rPr>
          <w:rFonts w:ascii="Verdana" w:hAnsi="Verdana"/>
          <w:sz w:val="18"/>
          <w:szCs w:val="18"/>
        </w:rPr>
        <w:t xml:space="preserve"> </w:t>
      </w:r>
      <w:r w:rsidR="00512B94" w:rsidRPr="006D4FA3">
        <w:rPr>
          <w:rFonts w:ascii="Verdana" w:hAnsi="Verdana"/>
          <w:sz w:val="18"/>
          <w:szCs w:val="18"/>
        </w:rPr>
        <w:t xml:space="preserve">Het is </w:t>
      </w:r>
      <w:r w:rsidR="00512B94">
        <w:rPr>
          <w:rFonts w:ascii="Verdana" w:hAnsi="Verdana"/>
          <w:sz w:val="18"/>
          <w:szCs w:val="18"/>
        </w:rPr>
        <w:t>de ‘zwaarste</w:t>
      </w:r>
      <w:r w:rsidR="00512B94" w:rsidRPr="006D4FA3">
        <w:rPr>
          <w:rFonts w:ascii="Verdana" w:hAnsi="Verdana"/>
          <w:sz w:val="18"/>
          <w:szCs w:val="18"/>
        </w:rPr>
        <w:t>’ variant van comitologie.</w:t>
      </w:r>
    </w:p>
    <w:p w:rsidR="00EB167C" w:rsidRDefault="006C0428" w:rsidP="00191321">
      <w:pPr>
        <w:ind w:left="3600" w:hanging="3600"/>
        <w:rPr>
          <w:lang w:val="nl-NL"/>
        </w:rPr>
      </w:pPr>
      <w:r>
        <w:rPr>
          <w:b/>
          <w:lang w:val="nl-NL"/>
        </w:rPr>
        <w:t>Onderzoeksprocedure</w:t>
      </w:r>
      <w:r w:rsidR="00D73CAF">
        <w:rPr>
          <w:b/>
          <w:lang w:val="nl-NL"/>
        </w:rPr>
        <w:tab/>
      </w:r>
      <w:r w:rsidR="00754388">
        <w:rPr>
          <w:lang w:val="nl-NL"/>
        </w:rPr>
        <w:t xml:space="preserve">Procedure voor de vaststelling van </w:t>
      </w:r>
      <w:r w:rsidR="004D4EF4">
        <w:rPr>
          <w:lang w:val="nl-NL"/>
        </w:rPr>
        <w:t xml:space="preserve">uitvoeringshandelingen met de zwaarste controle </w:t>
      </w:r>
      <w:r w:rsidR="00FA0CF6">
        <w:rPr>
          <w:lang w:val="nl-NL"/>
        </w:rPr>
        <w:t>door</w:t>
      </w:r>
      <w:r w:rsidR="004D4EF4">
        <w:rPr>
          <w:lang w:val="nl-NL"/>
        </w:rPr>
        <w:t xml:space="preserve"> de lidstaten. </w:t>
      </w:r>
      <w:r w:rsidR="00754388">
        <w:rPr>
          <w:lang w:val="nl-NL"/>
        </w:rPr>
        <w:t xml:space="preserve">Deze procedure dient </w:t>
      </w:r>
      <w:proofErr w:type="gramStart"/>
      <w:r w:rsidR="00754388">
        <w:rPr>
          <w:lang w:val="nl-NL"/>
        </w:rPr>
        <w:t>met name</w:t>
      </w:r>
      <w:proofErr w:type="gramEnd"/>
      <w:r w:rsidR="00754388">
        <w:rPr>
          <w:lang w:val="nl-NL"/>
        </w:rPr>
        <w:t xml:space="preserve"> te worden toegepast </w:t>
      </w:r>
      <w:r w:rsidR="00FA0CF6">
        <w:rPr>
          <w:lang w:val="nl-NL"/>
        </w:rPr>
        <w:t>bij</w:t>
      </w:r>
      <w:r w:rsidR="00754388">
        <w:rPr>
          <w:lang w:val="nl-NL"/>
        </w:rPr>
        <w:t xml:space="preserve"> de vaststelling van handelingen van algemene strekking en </w:t>
      </w:r>
      <w:r w:rsidR="00FA0CF6">
        <w:rPr>
          <w:lang w:val="nl-NL"/>
        </w:rPr>
        <w:t>bij</w:t>
      </w:r>
      <w:r w:rsidR="00754388">
        <w:rPr>
          <w:lang w:val="nl-NL"/>
        </w:rPr>
        <w:t xml:space="preserve"> specifieke uitvoeringshandelingen met potentieel significante gevolgen. </w:t>
      </w:r>
      <w:r w:rsidR="00FA0CF6">
        <w:rPr>
          <w:lang w:val="nl-NL"/>
        </w:rPr>
        <w:t xml:space="preserve">Bij de onderzoeksprocedure hebben de lidstaten uiteindelijk het laatste woord. </w:t>
      </w:r>
    </w:p>
    <w:p w:rsidR="00E51102" w:rsidRDefault="00E51102" w:rsidP="00191321">
      <w:pPr>
        <w:ind w:left="3600" w:hanging="3600"/>
        <w:rPr>
          <w:b/>
          <w:lang w:val="nl-NL"/>
        </w:rPr>
      </w:pPr>
    </w:p>
    <w:p w:rsidR="00031EB7" w:rsidRPr="00EB29FA" w:rsidRDefault="00031EB7" w:rsidP="00191321">
      <w:pPr>
        <w:ind w:left="3600" w:hanging="3600"/>
        <w:rPr>
          <w:b/>
          <w:lang w:val="nl-NL"/>
        </w:rPr>
      </w:pPr>
      <w:r>
        <w:rPr>
          <w:b/>
          <w:lang w:val="nl-NL"/>
        </w:rPr>
        <w:t>PRAC</w:t>
      </w:r>
      <w:r>
        <w:rPr>
          <w:b/>
          <w:lang w:val="nl-NL"/>
        </w:rPr>
        <w:tab/>
      </w:r>
      <w:r w:rsidR="00EB29FA" w:rsidRPr="00EB29FA">
        <w:rPr>
          <w:lang w:val="nl-NL"/>
        </w:rPr>
        <w:t>Franse afkorting voor de regelgevende procedure met toetsing:</w:t>
      </w:r>
      <w:r w:rsidR="00EB29FA" w:rsidRPr="00EB29FA">
        <w:rPr>
          <w:rStyle w:val="Emphasis"/>
          <w:i w:val="0"/>
          <w:iCs w:val="0"/>
          <w:lang w:val="nl-NL"/>
        </w:rPr>
        <w:t xml:space="preserve"> </w:t>
      </w:r>
      <w:proofErr w:type="spellStart"/>
      <w:r w:rsidR="00EB29FA" w:rsidRPr="00EB29FA">
        <w:rPr>
          <w:rStyle w:val="Emphasis"/>
          <w:i w:val="0"/>
          <w:lang w:val="nl-NL"/>
        </w:rPr>
        <w:t>Procédure</w:t>
      </w:r>
      <w:proofErr w:type="spellEnd"/>
      <w:r w:rsidR="00EB29FA" w:rsidRPr="00EB29FA">
        <w:rPr>
          <w:rStyle w:val="st"/>
          <w:i/>
          <w:lang w:val="nl-NL"/>
        </w:rPr>
        <w:t xml:space="preserve"> </w:t>
      </w:r>
      <w:r w:rsidR="00EB29FA" w:rsidRPr="00EB29FA">
        <w:rPr>
          <w:rStyle w:val="st"/>
          <w:lang w:val="nl-NL"/>
        </w:rPr>
        <w:t xml:space="preserve">de </w:t>
      </w:r>
      <w:proofErr w:type="spellStart"/>
      <w:r w:rsidR="00EB29FA" w:rsidRPr="00EB29FA">
        <w:rPr>
          <w:rStyle w:val="st"/>
          <w:lang w:val="nl-NL"/>
        </w:rPr>
        <w:t>Réglementation</w:t>
      </w:r>
      <w:proofErr w:type="spellEnd"/>
      <w:r w:rsidR="00EB29FA" w:rsidRPr="00EB29FA">
        <w:rPr>
          <w:rStyle w:val="st"/>
          <w:lang w:val="nl-NL"/>
        </w:rPr>
        <w:t xml:space="preserve"> </w:t>
      </w:r>
      <w:proofErr w:type="spellStart"/>
      <w:r w:rsidR="00EB29FA" w:rsidRPr="00EB29FA">
        <w:rPr>
          <w:rStyle w:val="Emphasis"/>
          <w:i w:val="0"/>
          <w:lang w:val="nl-NL"/>
        </w:rPr>
        <w:t>Avec</w:t>
      </w:r>
      <w:proofErr w:type="spellEnd"/>
      <w:r w:rsidR="00EB29FA" w:rsidRPr="00EB29FA">
        <w:rPr>
          <w:rStyle w:val="Emphasis"/>
          <w:i w:val="0"/>
          <w:lang w:val="nl-NL"/>
        </w:rPr>
        <w:t xml:space="preserve"> </w:t>
      </w:r>
      <w:r w:rsidR="00EB29FA">
        <w:rPr>
          <w:rStyle w:val="Emphasis"/>
          <w:i w:val="0"/>
          <w:lang w:val="nl-NL"/>
        </w:rPr>
        <w:t xml:space="preserve">Controle. PRAC is een comitéprocedure die is ingevoerd in 2006 (vóór het Verdrag van Lissabon). Deze procedure komt niet terug in de nieuwe </w:t>
      </w:r>
      <w:proofErr w:type="spellStart"/>
      <w:r w:rsidR="00EB29FA">
        <w:rPr>
          <w:rStyle w:val="Emphasis"/>
          <w:i w:val="0"/>
          <w:lang w:val="nl-NL"/>
        </w:rPr>
        <w:t>Comitologieverordening</w:t>
      </w:r>
      <w:proofErr w:type="spellEnd"/>
      <w:r w:rsidR="00EB29FA">
        <w:rPr>
          <w:rStyle w:val="Emphasis"/>
          <w:i w:val="0"/>
          <w:lang w:val="nl-NL"/>
        </w:rPr>
        <w:t xml:space="preserve"> en mag ook niet meer worden voorgesteld in nieuwe wetgevingsvoorstellen. Voorlopig blijft de PRAC echter wel bestaan wanneer deze in bestaande wetgeving (van vóór 1 december 2009) wordt aangewezen. </w:t>
      </w:r>
    </w:p>
    <w:p w:rsidR="00EB29FA" w:rsidRDefault="00EB29FA" w:rsidP="00191321">
      <w:pPr>
        <w:ind w:left="3600" w:hanging="3600"/>
        <w:rPr>
          <w:b/>
          <w:lang w:val="nl-NL"/>
        </w:rPr>
      </w:pPr>
    </w:p>
    <w:p w:rsidR="00A541C3" w:rsidRDefault="006C0428" w:rsidP="00191321">
      <w:pPr>
        <w:ind w:left="3600" w:hanging="3600"/>
        <w:rPr>
          <w:b/>
          <w:lang w:val="nl-NL"/>
        </w:rPr>
      </w:pPr>
      <w:r>
        <w:rPr>
          <w:b/>
          <w:lang w:val="nl-NL"/>
        </w:rPr>
        <w:t>Raadplegingsprocedure</w:t>
      </w:r>
      <w:r w:rsidR="003D3FC7">
        <w:rPr>
          <w:b/>
          <w:lang w:val="nl-NL"/>
        </w:rPr>
        <w:tab/>
      </w:r>
      <w:r w:rsidR="00E51102" w:rsidRPr="00E51102">
        <w:rPr>
          <w:lang w:val="nl-NL"/>
        </w:rPr>
        <w:t>Zie: ‘adviesprocedure’.</w:t>
      </w:r>
      <w:r w:rsidR="00E51102">
        <w:rPr>
          <w:b/>
          <w:lang w:val="nl-NL"/>
        </w:rPr>
        <w:t xml:space="preserve"> </w:t>
      </w:r>
    </w:p>
    <w:p w:rsidR="00E51102" w:rsidRDefault="00E51102" w:rsidP="00191321">
      <w:pPr>
        <w:ind w:left="3600" w:hanging="3600"/>
        <w:rPr>
          <w:lang w:val="nl-NL"/>
        </w:rPr>
      </w:pPr>
    </w:p>
    <w:p w:rsidR="00A541C3" w:rsidRPr="00A541C3" w:rsidRDefault="00A541C3" w:rsidP="00191321">
      <w:pPr>
        <w:ind w:left="3600" w:hanging="3600"/>
        <w:rPr>
          <w:lang w:val="nl-NL"/>
        </w:rPr>
      </w:pPr>
      <w:r>
        <w:rPr>
          <w:b/>
          <w:lang w:val="nl-NL"/>
        </w:rPr>
        <w:t>Raadplegingscomité</w:t>
      </w:r>
      <w:r>
        <w:rPr>
          <w:b/>
          <w:lang w:val="nl-NL"/>
        </w:rPr>
        <w:tab/>
      </w:r>
      <w:r>
        <w:rPr>
          <w:lang w:val="nl-NL"/>
        </w:rPr>
        <w:t xml:space="preserve">Zie: </w:t>
      </w:r>
      <w:r w:rsidR="001A6BD1">
        <w:rPr>
          <w:lang w:val="nl-NL"/>
        </w:rPr>
        <w:t>‘</w:t>
      </w:r>
      <w:r>
        <w:rPr>
          <w:lang w:val="nl-NL"/>
        </w:rPr>
        <w:t>adviescomité</w:t>
      </w:r>
      <w:r w:rsidR="001A6BD1">
        <w:rPr>
          <w:lang w:val="nl-NL"/>
        </w:rPr>
        <w:t>’</w:t>
      </w:r>
      <w:r>
        <w:rPr>
          <w:lang w:val="nl-NL"/>
        </w:rPr>
        <w:t>.</w:t>
      </w:r>
    </w:p>
    <w:p w:rsidR="00DF6197" w:rsidRDefault="00DF6197" w:rsidP="00191321">
      <w:pPr>
        <w:ind w:left="3600" w:hanging="3600"/>
        <w:rPr>
          <w:lang w:val="nl-NL"/>
        </w:rPr>
      </w:pPr>
    </w:p>
    <w:p w:rsidR="00921BAF" w:rsidRPr="00921BAF" w:rsidRDefault="00921BAF" w:rsidP="00191321">
      <w:pPr>
        <w:ind w:left="3600" w:hanging="3600"/>
        <w:rPr>
          <w:lang w:val="nl-NL"/>
        </w:rPr>
      </w:pPr>
      <w:r>
        <w:rPr>
          <w:b/>
          <w:lang w:val="nl-NL"/>
        </w:rPr>
        <w:t>Recht van bezwaar</w:t>
      </w:r>
      <w:r>
        <w:rPr>
          <w:b/>
          <w:lang w:val="nl-NL"/>
        </w:rPr>
        <w:tab/>
      </w:r>
      <w:r w:rsidR="00DF6197">
        <w:rPr>
          <w:lang w:val="nl-NL"/>
        </w:rPr>
        <w:t>R</w:t>
      </w:r>
      <w:r>
        <w:rPr>
          <w:lang w:val="nl-NL"/>
        </w:rPr>
        <w:t xml:space="preserve">echt van de Raad of EP om binnen de in de basishandeling bepaalde termijn bezwaar aan te tekenen tegen </w:t>
      </w:r>
      <w:proofErr w:type="gramStart"/>
      <w:r w:rsidR="0012033A">
        <w:rPr>
          <w:lang w:val="nl-NL"/>
        </w:rPr>
        <w:t>de</w:t>
      </w:r>
      <w:proofErr w:type="gramEnd"/>
      <w:r w:rsidR="0012033A">
        <w:rPr>
          <w:lang w:val="nl-NL"/>
        </w:rPr>
        <w:t xml:space="preserve"> (ontwerp) gedelegeerde handeling. </w:t>
      </w:r>
    </w:p>
    <w:p w:rsidR="009C3165" w:rsidRDefault="009C3165" w:rsidP="00191321">
      <w:pPr>
        <w:ind w:left="3600" w:hanging="3600"/>
        <w:rPr>
          <w:b/>
          <w:lang w:val="nl-NL"/>
        </w:rPr>
      </w:pPr>
    </w:p>
    <w:p w:rsidR="0094663B" w:rsidRDefault="00114583" w:rsidP="00191321">
      <w:pPr>
        <w:rPr>
          <w:lang w:val="nl-NL"/>
        </w:rPr>
      </w:pPr>
      <w:r>
        <w:rPr>
          <w:b/>
          <w:lang w:val="nl-NL"/>
        </w:rPr>
        <w:t>Quasi-wetgeving</w:t>
      </w:r>
      <w:r>
        <w:rPr>
          <w:b/>
          <w:lang w:val="nl-NL"/>
        </w:rPr>
        <w:tab/>
      </w:r>
      <w:r>
        <w:rPr>
          <w:b/>
          <w:lang w:val="nl-NL"/>
        </w:rPr>
        <w:tab/>
      </w:r>
      <w:r>
        <w:rPr>
          <w:b/>
          <w:lang w:val="nl-NL"/>
        </w:rPr>
        <w:tab/>
      </w:r>
      <w:r w:rsidR="00DF6197">
        <w:rPr>
          <w:lang w:val="nl-NL"/>
        </w:rPr>
        <w:t>An</w:t>
      </w:r>
      <w:r>
        <w:rPr>
          <w:lang w:val="nl-NL"/>
        </w:rPr>
        <w:t>dere aanduiding voor gedelegeerde handelingen</w:t>
      </w:r>
      <w:r w:rsidR="006866B0">
        <w:rPr>
          <w:lang w:val="nl-NL"/>
        </w:rPr>
        <w:t>.</w:t>
      </w:r>
    </w:p>
    <w:p w:rsidR="00842156" w:rsidRDefault="00842156" w:rsidP="00191321">
      <w:pPr>
        <w:rPr>
          <w:lang w:val="nl-NL"/>
        </w:rPr>
      </w:pPr>
    </w:p>
    <w:p w:rsidR="00114583" w:rsidRDefault="00842156" w:rsidP="00191321">
      <w:pPr>
        <w:ind w:left="3600" w:hanging="3600"/>
        <w:rPr>
          <w:lang w:val="nl-NL"/>
        </w:rPr>
      </w:pPr>
      <w:r>
        <w:rPr>
          <w:b/>
          <w:lang w:val="nl-NL"/>
        </w:rPr>
        <w:t xml:space="preserve">Secundaire </w:t>
      </w:r>
      <w:r w:rsidR="00C95BCD">
        <w:rPr>
          <w:b/>
          <w:lang w:val="nl-NL"/>
        </w:rPr>
        <w:t>regelgeving</w:t>
      </w:r>
      <w:r w:rsidR="00C95BCD">
        <w:rPr>
          <w:b/>
          <w:lang w:val="nl-NL"/>
        </w:rPr>
        <w:tab/>
      </w:r>
      <w:r w:rsidR="00DF6197">
        <w:rPr>
          <w:lang w:val="nl-NL"/>
        </w:rPr>
        <w:t>M</w:t>
      </w:r>
      <w:r w:rsidR="00C95BCD">
        <w:rPr>
          <w:lang w:val="nl-NL"/>
        </w:rPr>
        <w:t>aatregelen zoals verordeningen, richtlijnen en besluiten, die zijn vastgesteld op basis van de EU-verdragen. De verdragen zelf worden aangeduid met de term primair recht.</w:t>
      </w:r>
    </w:p>
    <w:p w:rsidR="009C3165" w:rsidRDefault="009C3165" w:rsidP="00191321">
      <w:pPr>
        <w:rPr>
          <w:b/>
          <w:lang w:val="nl-NL"/>
        </w:rPr>
      </w:pPr>
    </w:p>
    <w:p w:rsidR="00A541C3" w:rsidRPr="00D01BD6" w:rsidRDefault="00921BAF" w:rsidP="00921BAF">
      <w:pPr>
        <w:ind w:left="3600" w:hanging="3600"/>
        <w:rPr>
          <w:lang w:val="nl-NL"/>
        </w:rPr>
      </w:pPr>
      <w:r w:rsidRPr="00D01BD6">
        <w:rPr>
          <w:b/>
          <w:lang w:val="nl-NL"/>
        </w:rPr>
        <w:t>Sunset clausule</w:t>
      </w:r>
      <w:r w:rsidRPr="00D01BD6">
        <w:rPr>
          <w:b/>
          <w:lang w:val="nl-NL"/>
        </w:rPr>
        <w:tab/>
      </w:r>
      <w:r w:rsidR="00151FD5" w:rsidRPr="00D01BD6">
        <w:rPr>
          <w:lang w:val="nl-NL"/>
        </w:rPr>
        <w:t xml:space="preserve">Zie ‘horizon bepaling’. </w:t>
      </w:r>
    </w:p>
    <w:p w:rsidR="00151FD5" w:rsidRDefault="00151FD5" w:rsidP="00921BAF">
      <w:pPr>
        <w:ind w:left="3600" w:hanging="3600"/>
        <w:rPr>
          <w:lang w:val="nl-NL"/>
        </w:rPr>
      </w:pPr>
    </w:p>
    <w:p w:rsidR="00921BAF" w:rsidRDefault="00A541C3" w:rsidP="00A541C3">
      <w:pPr>
        <w:ind w:left="3600" w:hanging="3600"/>
        <w:rPr>
          <w:color w:val="FF0000"/>
          <w:lang w:val="nl-NL"/>
        </w:rPr>
      </w:pPr>
      <w:r w:rsidRPr="00A541C3">
        <w:rPr>
          <w:b/>
          <w:lang w:val="nl-NL"/>
        </w:rPr>
        <w:t>S</w:t>
      </w:r>
      <w:r w:rsidR="0012033A" w:rsidRPr="00A541C3">
        <w:rPr>
          <w:b/>
          <w:lang w:val="nl-NL"/>
        </w:rPr>
        <w:t>poedprocedure</w:t>
      </w:r>
      <w:r w:rsidRPr="00A541C3">
        <w:rPr>
          <w:b/>
          <w:lang w:val="nl-NL"/>
        </w:rPr>
        <w:t xml:space="preserve"> (</w:t>
      </w:r>
      <w:r w:rsidRPr="00A541C3">
        <w:rPr>
          <w:b/>
          <w:i/>
          <w:lang w:val="nl-NL"/>
        </w:rPr>
        <w:t>bij delegatie</w:t>
      </w:r>
      <w:r w:rsidRPr="00A541C3">
        <w:rPr>
          <w:b/>
          <w:lang w:val="nl-NL"/>
        </w:rPr>
        <w:t>)</w:t>
      </w:r>
      <w:r>
        <w:rPr>
          <w:lang w:val="nl-NL"/>
        </w:rPr>
        <w:tab/>
        <w:t xml:space="preserve">Procedure waarbij een vastgestelde gedelegeerde handeling </w:t>
      </w:r>
      <w:proofErr w:type="gramStart"/>
      <w:r>
        <w:rPr>
          <w:lang w:val="nl-NL"/>
        </w:rPr>
        <w:t>onverwijld</w:t>
      </w:r>
      <w:proofErr w:type="gramEnd"/>
      <w:r>
        <w:rPr>
          <w:lang w:val="nl-NL"/>
        </w:rPr>
        <w:t xml:space="preserve"> in werking treedt en van toepassing is zolang het EP of Raad daartegen geen bezwaar maken binnen de (in de basishandeling) vastgestelde bezwaartermijn</w:t>
      </w:r>
      <w:r w:rsidRPr="00E51102">
        <w:rPr>
          <w:lang w:val="nl-NL"/>
        </w:rPr>
        <w:t xml:space="preserve">. De spoedprocedure bij delegatie kan alleen worden gebruikt in </w:t>
      </w:r>
      <w:r w:rsidRPr="00E51102">
        <w:rPr>
          <w:lang w:val="nl-NL"/>
        </w:rPr>
        <w:lastRenderedPageBreak/>
        <w:t xml:space="preserve">uitzonderlijke gevallen, zoals veiligheid, volksgezondheid of externe betrekkingen, </w:t>
      </w:r>
      <w:proofErr w:type="gramStart"/>
      <w:r w:rsidRPr="00E51102">
        <w:rPr>
          <w:lang w:val="nl-NL"/>
        </w:rPr>
        <w:t>waaronder</w:t>
      </w:r>
      <w:proofErr w:type="gramEnd"/>
      <w:r w:rsidRPr="00E51102">
        <w:rPr>
          <w:lang w:val="nl-NL"/>
        </w:rPr>
        <w:t xml:space="preserve"> humanitaire cris</w:t>
      </w:r>
      <w:r w:rsidR="005715C6" w:rsidRPr="00E51102">
        <w:rPr>
          <w:lang w:val="nl-NL"/>
        </w:rPr>
        <w:t>e</w:t>
      </w:r>
      <w:r w:rsidRPr="00E51102">
        <w:rPr>
          <w:lang w:val="nl-NL"/>
        </w:rPr>
        <w:t>s.</w:t>
      </w:r>
    </w:p>
    <w:p w:rsidR="00A541C3" w:rsidRDefault="00A541C3" w:rsidP="00A541C3">
      <w:pPr>
        <w:ind w:left="3600" w:hanging="3600"/>
        <w:rPr>
          <w:color w:val="FF0000"/>
          <w:lang w:val="nl-NL"/>
        </w:rPr>
      </w:pPr>
    </w:p>
    <w:p w:rsidR="00A541C3" w:rsidRPr="00A541C3" w:rsidRDefault="00A541C3" w:rsidP="00A541C3">
      <w:pPr>
        <w:ind w:left="3600" w:hanging="3600"/>
        <w:rPr>
          <w:lang w:val="nl-NL"/>
        </w:rPr>
      </w:pPr>
      <w:r>
        <w:rPr>
          <w:b/>
          <w:lang w:val="nl-NL"/>
        </w:rPr>
        <w:t>Spoedprocedure (</w:t>
      </w:r>
      <w:r>
        <w:rPr>
          <w:b/>
          <w:i/>
          <w:lang w:val="nl-NL"/>
        </w:rPr>
        <w:t>bij uitvoering</w:t>
      </w:r>
      <w:r>
        <w:rPr>
          <w:b/>
          <w:lang w:val="nl-NL"/>
        </w:rPr>
        <w:t xml:space="preserve">) </w:t>
      </w:r>
      <w:r>
        <w:rPr>
          <w:b/>
          <w:lang w:val="nl-NL"/>
        </w:rPr>
        <w:tab/>
      </w:r>
      <w:r w:rsidR="006063E2">
        <w:rPr>
          <w:lang w:val="nl-NL"/>
        </w:rPr>
        <w:t>De basishandeling kan bepalen dat een uitvoeringshandeling d.m.v. van een spoedprocedure kan worden vastgesteld. Dit is een p</w:t>
      </w:r>
      <w:r>
        <w:rPr>
          <w:lang w:val="nl-NL"/>
        </w:rPr>
        <w:t xml:space="preserve">rocedure waarbij de Commissie (om redenen van urgentie en mits naar behoren gemotiveerd) een uitvoeringsmaatregel kan vaststellen, zonder voorafgaande inspraak van het onderzoeks- of adviescomité. </w:t>
      </w:r>
    </w:p>
    <w:p w:rsidR="00147217" w:rsidRDefault="00147217" w:rsidP="00191321">
      <w:pPr>
        <w:rPr>
          <w:lang w:val="nl-NL"/>
        </w:rPr>
      </w:pPr>
    </w:p>
    <w:p w:rsidR="00147217" w:rsidRDefault="00147217" w:rsidP="00191321">
      <w:pPr>
        <w:ind w:left="3600" w:hanging="3600"/>
        <w:rPr>
          <w:lang w:val="nl-NL"/>
        </w:rPr>
      </w:pPr>
      <w:r w:rsidRPr="00916987">
        <w:rPr>
          <w:b/>
          <w:lang w:val="nl-NL"/>
        </w:rPr>
        <w:t xml:space="preserve">Ultra </w:t>
      </w:r>
      <w:proofErr w:type="spellStart"/>
      <w:r w:rsidRPr="00916987">
        <w:rPr>
          <w:b/>
          <w:lang w:val="nl-NL"/>
        </w:rPr>
        <w:t>vires</w:t>
      </w:r>
      <w:proofErr w:type="spellEnd"/>
      <w:r w:rsidR="001A6BD1">
        <w:rPr>
          <w:lang w:val="nl-NL"/>
        </w:rPr>
        <w:t xml:space="preserve"> </w:t>
      </w:r>
      <w:r w:rsidR="001A6BD1">
        <w:rPr>
          <w:lang w:val="nl-NL"/>
        </w:rPr>
        <w:tab/>
        <w:t>O</w:t>
      </w:r>
      <w:r>
        <w:rPr>
          <w:lang w:val="nl-NL"/>
        </w:rPr>
        <w:t>verschrijding door de Commissie van de aan haar toegekende uitvoeringsbevoegdheden</w:t>
      </w:r>
      <w:r w:rsidR="001A6BD1">
        <w:rPr>
          <w:lang w:val="nl-NL"/>
        </w:rPr>
        <w:t>.</w:t>
      </w:r>
    </w:p>
    <w:p w:rsidR="00921BAF" w:rsidRDefault="00921BAF" w:rsidP="00191321">
      <w:pPr>
        <w:ind w:left="3600" w:hanging="3600"/>
        <w:rPr>
          <w:lang w:val="nl-NL"/>
        </w:rPr>
      </w:pPr>
    </w:p>
    <w:p w:rsidR="00147217" w:rsidRDefault="00147217" w:rsidP="00191321">
      <w:pPr>
        <w:ind w:left="3600" w:hanging="3600"/>
        <w:rPr>
          <w:lang w:val="nl-NL"/>
        </w:rPr>
      </w:pPr>
      <w:r w:rsidRPr="00147217">
        <w:rPr>
          <w:b/>
          <w:lang w:val="nl-NL"/>
        </w:rPr>
        <w:t xml:space="preserve">Ultra </w:t>
      </w:r>
      <w:proofErr w:type="spellStart"/>
      <w:r w:rsidRPr="00147217">
        <w:rPr>
          <w:b/>
          <w:lang w:val="nl-NL"/>
        </w:rPr>
        <w:t>vires</w:t>
      </w:r>
      <w:proofErr w:type="spellEnd"/>
      <w:r w:rsidRPr="00147217">
        <w:rPr>
          <w:b/>
          <w:lang w:val="nl-NL"/>
        </w:rPr>
        <w:t xml:space="preserve"> beroep</w:t>
      </w:r>
      <w:r>
        <w:rPr>
          <w:lang w:val="nl-NL"/>
        </w:rPr>
        <w:tab/>
        <w:t xml:space="preserve">Procedure bij het Hof </w:t>
      </w:r>
      <w:r w:rsidR="005715C6">
        <w:rPr>
          <w:lang w:val="nl-NL"/>
        </w:rPr>
        <w:t>die</w:t>
      </w:r>
      <w:r w:rsidR="00217DB1">
        <w:rPr>
          <w:lang w:val="nl-NL"/>
        </w:rPr>
        <w:t xml:space="preserve"> gestart kan worden door het EP, </w:t>
      </w:r>
      <w:r>
        <w:rPr>
          <w:lang w:val="nl-NL"/>
        </w:rPr>
        <w:t xml:space="preserve">de Raad </w:t>
      </w:r>
      <w:r w:rsidR="00217DB1">
        <w:rPr>
          <w:lang w:val="nl-NL"/>
        </w:rPr>
        <w:t xml:space="preserve">of de lidstaten </w:t>
      </w:r>
      <w:r>
        <w:rPr>
          <w:lang w:val="nl-NL"/>
        </w:rPr>
        <w:t xml:space="preserve">in het geval dat de Commissie de haar toegekende uitvoeringsbevoegdheden overschreden heeft. </w:t>
      </w:r>
    </w:p>
    <w:p w:rsidR="00147217" w:rsidRDefault="00147217" w:rsidP="00191321">
      <w:pPr>
        <w:ind w:left="3600" w:hanging="3600"/>
        <w:rPr>
          <w:lang w:val="nl-NL"/>
        </w:rPr>
      </w:pPr>
    </w:p>
    <w:p w:rsidR="009D612B" w:rsidRDefault="00147217" w:rsidP="00191321">
      <w:pPr>
        <w:ind w:left="3600" w:hanging="3600"/>
        <w:rPr>
          <w:lang w:val="nl-NL"/>
        </w:rPr>
      </w:pPr>
      <w:r w:rsidRPr="00916987">
        <w:rPr>
          <w:b/>
          <w:lang w:val="nl-NL"/>
        </w:rPr>
        <w:t xml:space="preserve">Ultra </w:t>
      </w:r>
      <w:proofErr w:type="spellStart"/>
      <w:r w:rsidRPr="00916987">
        <w:rPr>
          <w:b/>
          <w:lang w:val="nl-NL"/>
        </w:rPr>
        <w:t>vires</w:t>
      </w:r>
      <w:proofErr w:type="spellEnd"/>
      <w:r w:rsidRPr="00916987">
        <w:rPr>
          <w:b/>
          <w:lang w:val="nl-NL"/>
        </w:rPr>
        <w:t xml:space="preserve"> </w:t>
      </w:r>
      <w:proofErr w:type="spellStart"/>
      <w:r w:rsidRPr="00916987">
        <w:rPr>
          <w:b/>
          <w:lang w:val="nl-NL"/>
        </w:rPr>
        <w:t>toetingsrecht</w:t>
      </w:r>
      <w:proofErr w:type="spellEnd"/>
      <w:r w:rsidR="009D612B">
        <w:rPr>
          <w:b/>
          <w:lang w:val="nl-NL"/>
        </w:rPr>
        <w:tab/>
      </w:r>
      <w:r w:rsidR="009D612B">
        <w:rPr>
          <w:lang w:val="nl-NL"/>
        </w:rPr>
        <w:t xml:space="preserve">Recht van het EP en de Raad om op elk moment aan de Commissie te kennen te geven dat zij van mening zijn dat een ontwerp-uitvoeringshandeling de bij de basishandeling verleende bevoegdheden overschrijdt. De Commissie onderwerpt in dat geval haar ontwerp-uitvoeringhandeling aan hernieuwd onderzoek. </w:t>
      </w:r>
    </w:p>
    <w:p w:rsidR="009D612B" w:rsidRDefault="009D612B" w:rsidP="00191321">
      <w:pPr>
        <w:ind w:left="3600" w:hanging="3600"/>
        <w:rPr>
          <w:b/>
          <w:lang w:val="nl-NL"/>
        </w:rPr>
      </w:pPr>
    </w:p>
    <w:p w:rsidR="006866B0" w:rsidRDefault="00276AA9" w:rsidP="00191321">
      <w:pPr>
        <w:ind w:left="3600" w:hanging="3600"/>
        <w:rPr>
          <w:b/>
          <w:lang w:val="nl-NL"/>
        </w:rPr>
      </w:pPr>
      <w:r>
        <w:rPr>
          <w:b/>
          <w:lang w:val="nl-NL"/>
        </w:rPr>
        <w:t>Uitvoering</w:t>
      </w:r>
      <w:r w:rsidR="006866B0">
        <w:rPr>
          <w:b/>
          <w:lang w:val="nl-NL"/>
        </w:rPr>
        <w:tab/>
      </w:r>
      <w:r w:rsidR="006866B0">
        <w:rPr>
          <w:lang w:val="nl-NL"/>
        </w:rPr>
        <w:t>N</w:t>
      </w:r>
      <w:r w:rsidR="006866B0" w:rsidRPr="000C360A">
        <w:rPr>
          <w:lang w:val="nl-NL"/>
        </w:rPr>
        <w:t>ad</w:t>
      </w:r>
      <w:r w:rsidR="00217DB1">
        <w:rPr>
          <w:lang w:val="nl-NL"/>
        </w:rPr>
        <w:t xml:space="preserve">ere uitvoering van EU-wetgeving </w:t>
      </w:r>
      <w:r w:rsidR="006866B0">
        <w:rPr>
          <w:lang w:val="nl-NL"/>
        </w:rPr>
        <w:t xml:space="preserve">(art. 291 VWEU ). </w:t>
      </w:r>
      <w:r w:rsidR="000D7BA6">
        <w:rPr>
          <w:lang w:val="nl-NL"/>
        </w:rPr>
        <w:t xml:space="preserve">Er worden uniforme uitvoeringsregels vastgesteld met als doel te voorzien in een goede en eenvormige uitvoering van EU-regelgeving. Zie ook ‘uitvoeringshandelingen’. </w:t>
      </w:r>
    </w:p>
    <w:p w:rsidR="000D7BA6" w:rsidRDefault="000D7BA6" w:rsidP="00AE5DCF">
      <w:pPr>
        <w:ind w:left="3600" w:hanging="3600"/>
        <w:rPr>
          <w:b/>
          <w:lang w:val="nl-NL"/>
        </w:rPr>
      </w:pPr>
    </w:p>
    <w:p w:rsidR="007E28A1" w:rsidRPr="001A6BD1" w:rsidRDefault="00CA2CD8" w:rsidP="001A6BD1">
      <w:pPr>
        <w:spacing w:after="0"/>
        <w:ind w:left="3600" w:hanging="3600"/>
        <w:rPr>
          <w:lang w:val="nl-NL"/>
        </w:rPr>
      </w:pPr>
      <w:r>
        <w:rPr>
          <w:b/>
          <w:lang w:val="nl-NL"/>
        </w:rPr>
        <w:t>Uitvoeringshandeling</w:t>
      </w:r>
      <w:r>
        <w:rPr>
          <w:b/>
          <w:lang w:val="nl-NL"/>
        </w:rPr>
        <w:tab/>
      </w:r>
      <w:r w:rsidR="007E28A1" w:rsidRPr="001A6BD1">
        <w:rPr>
          <w:lang w:val="nl-NL"/>
        </w:rPr>
        <w:t xml:space="preserve">Handeling, vastgesteld door de Commissie (en in </w:t>
      </w:r>
      <w:r w:rsidR="00D861F4">
        <w:rPr>
          <w:lang w:val="nl-NL"/>
        </w:rPr>
        <w:t xml:space="preserve">bepaalde </w:t>
      </w:r>
      <w:r w:rsidR="007E28A1" w:rsidRPr="001A6BD1">
        <w:rPr>
          <w:lang w:val="nl-NL"/>
        </w:rPr>
        <w:t>gevallen door de Raad)</w:t>
      </w:r>
      <w:r w:rsidR="0012033A" w:rsidRPr="001A6BD1">
        <w:rPr>
          <w:lang w:val="nl-NL"/>
        </w:rPr>
        <w:t xml:space="preserve"> </w:t>
      </w:r>
      <w:r w:rsidR="005715C6">
        <w:rPr>
          <w:lang w:val="nl-NL"/>
        </w:rPr>
        <w:t>die</w:t>
      </w:r>
      <w:r w:rsidR="0012033A" w:rsidRPr="001A6BD1">
        <w:rPr>
          <w:lang w:val="nl-NL"/>
        </w:rPr>
        <w:t xml:space="preserve"> eenvormige voorwaarden bevat om de uniforme uitvoering van de basishandeling door de lidstaten te kunnen garanderen. Uitvoeringshandelingen vinden hun </w:t>
      </w:r>
      <w:r w:rsidR="00AE5DCF" w:rsidRPr="001A6BD1">
        <w:rPr>
          <w:lang w:val="nl-NL"/>
        </w:rPr>
        <w:t xml:space="preserve">oorsprong </w:t>
      </w:r>
      <w:r w:rsidR="0012033A" w:rsidRPr="001A6BD1">
        <w:rPr>
          <w:lang w:val="nl-NL"/>
        </w:rPr>
        <w:t xml:space="preserve">in een basishandeling en kunnen zowel een algemeen karakter hebben als individueel van aard </w:t>
      </w:r>
      <w:proofErr w:type="gramStart"/>
      <w:r w:rsidR="0012033A" w:rsidRPr="001A6BD1">
        <w:rPr>
          <w:lang w:val="nl-NL"/>
        </w:rPr>
        <w:t>zijn</w:t>
      </w:r>
      <w:proofErr w:type="gramEnd"/>
      <w:r w:rsidR="0012033A" w:rsidRPr="001A6BD1">
        <w:rPr>
          <w:lang w:val="nl-NL"/>
        </w:rPr>
        <w:t xml:space="preserve">. Zij hebben slechts betrekking op niet-essentiële onderdelen van de basishandeling, die gemakkelijk moeten kunnen worden aangepast aan praktische ontwikkelingen of gewijzigde wetenschappelijke inzichten. </w:t>
      </w:r>
    </w:p>
    <w:p w:rsidR="001A6BD1" w:rsidRPr="001A6BD1" w:rsidRDefault="001A6BD1" w:rsidP="001A6BD1">
      <w:pPr>
        <w:spacing w:after="0"/>
        <w:ind w:left="3600" w:hanging="3600"/>
        <w:rPr>
          <w:lang w:val="nl-NL"/>
        </w:rPr>
      </w:pPr>
      <w:r w:rsidRPr="001A6BD1">
        <w:rPr>
          <w:lang w:val="nl-NL"/>
        </w:rPr>
        <w:tab/>
      </w:r>
      <w:r w:rsidRPr="001F5166">
        <w:rPr>
          <w:lang w:val="nl-NL"/>
        </w:rPr>
        <w:t xml:space="preserve">Niet </w:t>
      </w:r>
      <w:r w:rsidR="00D861F4" w:rsidRPr="001F5166">
        <w:rPr>
          <w:lang w:val="nl-NL"/>
        </w:rPr>
        <w:t xml:space="preserve">te verwarren met </w:t>
      </w:r>
      <w:r w:rsidRPr="001F5166">
        <w:rPr>
          <w:lang w:val="nl-NL"/>
        </w:rPr>
        <w:t>een gedelegeerde handeling.</w:t>
      </w:r>
    </w:p>
    <w:p w:rsidR="00DF6197" w:rsidRDefault="00DF6197" w:rsidP="00AE5DCF">
      <w:pPr>
        <w:ind w:left="3600" w:hanging="3600"/>
        <w:rPr>
          <w:b/>
          <w:lang w:val="nl-NL"/>
        </w:rPr>
      </w:pPr>
    </w:p>
    <w:p w:rsidR="00916987" w:rsidRDefault="00CA2CD8" w:rsidP="00191321">
      <w:pPr>
        <w:ind w:left="3600" w:hanging="3600"/>
        <w:rPr>
          <w:lang w:val="nl-NL"/>
        </w:rPr>
      </w:pPr>
      <w:r>
        <w:rPr>
          <w:b/>
          <w:lang w:val="nl-NL"/>
        </w:rPr>
        <w:t xml:space="preserve">Wetgevingshandeling </w:t>
      </w:r>
      <w:r>
        <w:rPr>
          <w:b/>
          <w:lang w:val="nl-NL"/>
        </w:rPr>
        <w:tab/>
      </w:r>
      <w:r w:rsidR="00AE5DCF">
        <w:rPr>
          <w:lang w:val="nl-NL"/>
        </w:rPr>
        <w:t>R</w:t>
      </w:r>
      <w:r>
        <w:rPr>
          <w:lang w:val="nl-NL"/>
        </w:rPr>
        <w:t xml:space="preserve">echtshandeling die is vastgesteld door de EU-wetgever (Raad en EP). </w:t>
      </w:r>
    </w:p>
    <w:p w:rsidR="00916987" w:rsidRPr="00916987" w:rsidRDefault="00916987" w:rsidP="00191321">
      <w:pPr>
        <w:ind w:left="3600" w:hanging="3600"/>
        <w:rPr>
          <w:lang w:val="nl-NL"/>
        </w:rPr>
      </w:pPr>
    </w:p>
    <w:sectPr w:rsidR="00916987" w:rsidRPr="009169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E5" w:rsidRDefault="001674E5" w:rsidP="00EB29FA">
      <w:pPr>
        <w:spacing w:after="0"/>
      </w:pPr>
      <w:r>
        <w:separator/>
      </w:r>
    </w:p>
  </w:endnote>
  <w:endnote w:type="continuationSeparator" w:id="0">
    <w:p w:rsidR="001674E5" w:rsidRDefault="001674E5" w:rsidP="00EB2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E5" w:rsidRDefault="001674E5" w:rsidP="00EB29FA">
      <w:pPr>
        <w:spacing w:after="0"/>
      </w:pPr>
      <w:r>
        <w:separator/>
      </w:r>
    </w:p>
  </w:footnote>
  <w:footnote w:type="continuationSeparator" w:id="0">
    <w:p w:rsidR="001674E5" w:rsidRDefault="001674E5" w:rsidP="00EB29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03"/>
    <w:rsid w:val="00031EB7"/>
    <w:rsid w:val="000C360A"/>
    <w:rsid w:val="000D7BA6"/>
    <w:rsid w:val="00114583"/>
    <w:rsid w:val="0012033A"/>
    <w:rsid w:val="00145ED9"/>
    <w:rsid w:val="00147217"/>
    <w:rsid w:val="00151FD5"/>
    <w:rsid w:val="001674E5"/>
    <w:rsid w:val="001870CD"/>
    <w:rsid w:val="00191321"/>
    <w:rsid w:val="001A6BD1"/>
    <w:rsid w:val="001F5166"/>
    <w:rsid w:val="00217DB1"/>
    <w:rsid w:val="00237C04"/>
    <w:rsid w:val="002653D2"/>
    <w:rsid w:val="00276AA9"/>
    <w:rsid w:val="00316856"/>
    <w:rsid w:val="003D3FC7"/>
    <w:rsid w:val="004D4EF4"/>
    <w:rsid w:val="004D5E45"/>
    <w:rsid w:val="004E4B29"/>
    <w:rsid w:val="00512B94"/>
    <w:rsid w:val="005715C6"/>
    <w:rsid w:val="00597680"/>
    <w:rsid w:val="005F778C"/>
    <w:rsid w:val="006063E2"/>
    <w:rsid w:val="006866B0"/>
    <w:rsid w:val="006C0428"/>
    <w:rsid w:val="006C1C83"/>
    <w:rsid w:val="006D4FA3"/>
    <w:rsid w:val="00700ABF"/>
    <w:rsid w:val="007445BC"/>
    <w:rsid w:val="00754388"/>
    <w:rsid w:val="00775482"/>
    <w:rsid w:val="00777EFF"/>
    <w:rsid w:val="00780838"/>
    <w:rsid w:val="00784966"/>
    <w:rsid w:val="007D6E2C"/>
    <w:rsid w:val="007E28A1"/>
    <w:rsid w:val="00822DBF"/>
    <w:rsid w:val="00826F07"/>
    <w:rsid w:val="008361CE"/>
    <w:rsid w:val="00842156"/>
    <w:rsid w:val="0088594C"/>
    <w:rsid w:val="008D2146"/>
    <w:rsid w:val="00916987"/>
    <w:rsid w:val="00920108"/>
    <w:rsid w:val="00921BAF"/>
    <w:rsid w:val="00944F71"/>
    <w:rsid w:val="0094663B"/>
    <w:rsid w:val="009A680F"/>
    <w:rsid w:val="009C3165"/>
    <w:rsid w:val="009D612B"/>
    <w:rsid w:val="009D6F32"/>
    <w:rsid w:val="00A14399"/>
    <w:rsid w:val="00A34DAE"/>
    <w:rsid w:val="00A541C3"/>
    <w:rsid w:val="00A62CC1"/>
    <w:rsid w:val="00A74DF8"/>
    <w:rsid w:val="00A7532F"/>
    <w:rsid w:val="00AA7632"/>
    <w:rsid w:val="00AE5DCF"/>
    <w:rsid w:val="00B37F2C"/>
    <w:rsid w:val="00BE1684"/>
    <w:rsid w:val="00BE509D"/>
    <w:rsid w:val="00C724EE"/>
    <w:rsid w:val="00C95BCD"/>
    <w:rsid w:val="00CA2CD8"/>
    <w:rsid w:val="00CD76DF"/>
    <w:rsid w:val="00D01BD6"/>
    <w:rsid w:val="00D10242"/>
    <w:rsid w:val="00D309B7"/>
    <w:rsid w:val="00D44BBE"/>
    <w:rsid w:val="00D66D40"/>
    <w:rsid w:val="00D73CAF"/>
    <w:rsid w:val="00D861F4"/>
    <w:rsid w:val="00DA51F1"/>
    <w:rsid w:val="00DF6197"/>
    <w:rsid w:val="00E51102"/>
    <w:rsid w:val="00E80303"/>
    <w:rsid w:val="00E8079B"/>
    <w:rsid w:val="00EB167C"/>
    <w:rsid w:val="00EB29FA"/>
    <w:rsid w:val="00F40B6B"/>
    <w:rsid w:val="00F40D33"/>
    <w:rsid w:val="00F75A5E"/>
    <w:rsid w:val="00F854D9"/>
    <w:rsid w:val="00FA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FA3"/>
    <w:pPr>
      <w:spacing w:before="100" w:beforeAutospacing="1" w:after="394"/>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semiHidden/>
    <w:unhideWhenUsed/>
    <w:rsid w:val="00EB29FA"/>
    <w:rPr>
      <w:color w:val="154273"/>
      <w:u w:val="single"/>
    </w:rPr>
  </w:style>
  <w:style w:type="character" w:styleId="Strong">
    <w:name w:val="Strong"/>
    <w:basedOn w:val="DefaultParagraphFont"/>
    <w:uiPriority w:val="22"/>
    <w:qFormat/>
    <w:rsid w:val="00EB29FA"/>
    <w:rPr>
      <w:b/>
      <w:bCs/>
    </w:rPr>
  </w:style>
  <w:style w:type="character" w:customStyle="1" w:styleId="st">
    <w:name w:val="st"/>
    <w:rsid w:val="00EB29FA"/>
  </w:style>
  <w:style w:type="character" w:styleId="Emphasis">
    <w:name w:val="Emphasis"/>
    <w:uiPriority w:val="20"/>
    <w:qFormat/>
    <w:rsid w:val="00EB29FA"/>
    <w:rPr>
      <w:i/>
      <w:iCs/>
    </w:rPr>
  </w:style>
  <w:style w:type="paragraph" w:styleId="FootnoteText">
    <w:name w:val="footnote text"/>
    <w:basedOn w:val="Normal"/>
    <w:link w:val="FootnoteTextChar"/>
    <w:semiHidden/>
    <w:rsid w:val="00EB29FA"/>
    <w:pPr>
      <w:spacing w:after="0" w:line="240" w:lineRule="atLeast"/>
      <w:ind w:left="1298" w:hanging="1298"/>
    </w:pPr>
    <w:rPr>
      <w:rFonts w:ascii="Times New Roman" w:eastAsia="Times New Roman" w:hAnsi="Times New Roman" w:cs="Times New Roman"/>
      <w:sz w:val="16"/>
      <w:szCs w:val="20"/>
      <w:lang w:val="nl-NL" w:eastAsia="zh-CN"/>
    </w:rPr>
  </w:style>
  <w:style w:type="character" w:customStyle="1" w:styleId="FootnoteTextChar">
    <w:name w:val="Footnote Text Char"/>
    <w:basedOn w:val="DefaultParagraphFont"/>
    <w:link w:val="FootnoteText"/>
    <w:semiHidden/>
    <w:rsid w:val="00EB29FA"/>
    <w:rPr>
      <w:rFonts w:ascii="Times New Roman" w:eastAsia="Times New Roman" w:hAnsi="Times New Roman" w:cs="Times New Roman"/>
      <w:sz w:val="16"/>
      <w:szCs w:val="20"/>
      <w:lang w:val="nl-NL" w:eastAsia="zh-CN"/>
    </w:rPr>
  </w:style>
  <w:style w:type="character" w:styleId="FootnoteReference">
    <w:name w:val="footnote reference"/>
    <w:semiHidden/>
    <w:rsid w:val="00EB29FA"/>
    <w:rPr>
      <w:vertAlign w:val="superscript"/>
    </w:rPr>
  </w:style>
  <w:style w:type="paragraph" w:styleId="BalloonText">
    <w:name w:val="Balloon Text"/>
    <w:basedOn w:val="Normal"/>
    <w:link w:val="BalloonTextChar"/>
    <w:uiPriority w:val="99"/>
    <w:semiHidden/>
    <w:unhideWhenUsed/>
    <w:rsid w:val="00BE50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9D"/>
    <w:rPr>
      <w:rFonts w:ascii="Tahoma" w:hAnsi="Tahoma" w:cs="Tahoma"/>
      <w:sz w:val="16"/>
      <w:szCs w:val="16"/>
    </w:rPr>
  </w:style>
  <w:style w:type="character" w:styleId="CommentReference">
    <w:name w:val="annotation reference"/>
    <w:basedOn w:val="DefaultParagraphFont"/>
    <w:uiPriority w:val="99"/>
    <w:semiHidden/>
    <w:unhideWhenUsed/>
    <w:rsid w:val="00A62CC1"/>
    <w:rPr>
      <w:sz w:val="16"/>
      <w:szCs w:val="16"/>
    </w:rPr>
  </w:style>
  <w:style w:type="paragraph" w:styleId="CommentText">
    <w:name w:val="annotation text"/>
    <w:basedOn w:val="Normal"/>
    <w:link w:val="CommentTextChar"/>
    <w:uiPriority w:val="99"/>
    <w:semiHidden/>
    <w:unhideWhenUsed/>
    <w:rsid w:val="00A62CC1"/>
    <w:rPr>
      <w:sz w:val="20"/>
      <w:szCs w:val="20"/>
    </w:rPr>
  </w:style>
  <w:style w:type="character" w:customStyle="1" w:styleId="CommentTextChar">
    <w:name w:val="Comment Text Char"/>
    <w:basedOn w:val="DefaultParagraphFont"/>
    <w:link w:val="CommentText"/>
    <w:uiPriority w:val="99"/>
    <w:semiHidden/>
    <w:rsid w:val="00A62CC1"/>
    <w:rPr>
      <w:sz w:val="20"/>
      <w:szCs w:val="20"/>
    </w:rPr>
  </w:style>
  <w:style w:type="paragraph" w:styleId="CommentSubject">
    <w:name w:val="annotation subject"/>
    <w:basedOn w:val="CommentText"/>
    <w:next w:val="CommentText"/>
    <w:link w:val="CommentSubjectChar"/>
    <w:uiPriority w:val="99"/>
    <w:semiHidden/>
    <w:unhideWhenUsed/>
    <w:rsid w:val="00A62CC1"/>
    <w:rPr>
      <w:b/>
      <w:bCs/>
    </w:rPr>
  </w:style>
  <w:style w:type="character" w:customStyle="1" w:styleId="CommentSubjectChar">
    <w:name w:val="Comment Subject Char"/>
    <w:basedOn w:val="CommentTextChar"/>
    <w:link w:val="CommentSubject"/>
    <w:uiPriority w:val="99"/>
    <w:semiHidden/>
    <w:rsid w:val="00A62C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FA3"/>
    <w:pPr>
      <w:spacing w:before="100" w:beforeAutospacing="1" w:after="394"/>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semiHidden/>
    <w:unhideWhenUsed/>
    <w:rsid w:val="00EB29FA"/>
    <w:rPr>
      <w:color w:val="154273"/>
      <w:u w:val="single"/>
    </w:rPr>
  </w:style>
  <w:style w:type="character" w:styleId="Strong">
    <w:name w:val="Strong"/>
    <w:basedOn w:val="DefaultParagraphFont"/>
    <w:uiPriority w:val="22"/>
    <w:qFormat/>
    <w:rsid w:val="00EB29FA"/>
    <w:rPr>
      <w:b/>
      <w:bCs/>
    </w:rPr>
  </w:style>
  <w:style w:type="character" w:customStyle="1" w:styleId="st">
    <w:name w:val="st"/>
    <w:rsid w:val="00EB29FA"/>
  </w:style>
  <w:style w:type="character" w:styleId="Emphasis">
    <w:name w:val="Emphasis"/>
    <w:uiPriority w:val="20"/>
    <w:qFormat/>
    <w:rsid w:val="00EB29FA"/>
    <w:rPr>
      <w:i/>
      <w:iCs/>
    </w:rPr>
  </w:style>
  <w:style w:type="paragraph" w:styleId="FootnoteText">
    <w:name w:val="footnote text"/>
    <w:basedOn w:val="Normal"/>
    <w:link w:val="FootnoteTextChar"/>
    <w:semiHidden/>
    <w:rsid w:val="00EB29FA"/>
    <w:pPr>
      <w:spacing w:after="0" w:line="240" w:lineRule="atLeast"/>
      <w:ind w:left="1298" w:hanging="1298"/>
    </w:pPr>
    <w:rPr>
      <w:rFonts w:ascii="Times New Roman" w:eastAsia="Times New Roman" w:hAnsi="Times New Roman" w:cs="Times New Roman"/>
      <w:sz w:val="16"/>
      <w:szCs w:val="20"/>
      <w:lang w:val="nl-NL" w:eastAsia="zh-CN"/>
    </w:rPr>
  </w:style>
  <w:style w:type="character" w:customStyle="1" w:styleId="FootnoteTextChar">
    <w:name w:val="Footnote Text Char"/>
    <w:basedOn w:val="DefaultParagraphFont"/>
    <w:link w:val="FootnoteText"/>
    <w:semiHidden/>
    <w:rsid w:val="00EB29FA"/>
    <w:rPr>
      <w:rFonts w:ascii="Times New Roman" w:eastAsia="Times New Roman" w:hAnsi="Times New Roman" w:cs="Times New Roman"/>
      <w:sz w:val="16"/>
      <w:szCs w:val="20"/>
      <w:lang w:val="nl-NL" w:eastAsia="zh-CN"/>
    </w:rPr>
  </w:style>
  <w:style w:type="character" w:styleId="FootnoteReference">
    <w:name w:val="footnote reference"/>
    <w:semiHidden/>
    <w:rsid w:val="00EB29FA"/>
    <w:rPr>
      <w:vertAlign w:val="superscript"/>
    </w:rPr>
  </w:style>
  <w:style w:type="paragraph" w:styleId="BalloonText">
    <w:name w:val="Balloon Text"/>
    <w:basedOn w:val="Normal"/>
    <w:link w:val="BalloonTextChar"/>
    <w:uiPriority w:val="99"/>
    <w:semiHidden/>
    <w:unhideWhenUsed/>
    <w:rsid w:val="00BE50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9D"/>
    <w:rPr>
      <w:rFonts w:ascii="Tahoma" w:hAnsi="Tahoma" w:cs="Tahoma"/>
      <w:sz w:val="16"/>
      <w:szCs w:val="16"/>
    </w:rPr>
  </w:style>
  <w:style w:type="character" w:styleId="CommentReference">
    <w:name w:val="annotation reference"/>
    <w:basedOn w:val="DefaultParagraphFont"/>
    <w:uiPriority w:val="99"/>
    <w:semiHidden/>
    <w:unhideWhenUsed/>
    <w:rsid w:val="00A62CC1"/>
    <w:rPr>
      <w:sz w:val="16"/>
      <w:szCs w:val="16"/>
    </w:rPr>
  </w:style>
  <w:style w:type="paragraph" w:styleId="CommentText">
    <w:name w:val="annotation text"/>
    <w:basedOn w:val="Normal"/>
    <w:link w:val="CommentTextChar"/>
    <w:uiPriority w:val="99"/>
    <w:semiHidden/>
    <w:unhideWhenUsed/>
    <w:rsid w:val="00A62CC1"/>
    <w:rPr>
      <w:sz w:val="20"/>
      <w:szCs w:val="20"/>
    </w:rPr>
  </w:style>
  <w:style w:type="character" w:customStyle="1" w:styleId="CommentTextChar">
    <w:name w:val="Comment Text Char"/>
    <w:basedOn w:val="DefaultParagraphFont"/>
    <w:link w:val="CommentText"/>
    <w:uiPriority w:val="99"/>
    <w:semiHidden/>
    <w:rsid w:val="00A62CC1"/>
    <w:rPr>
      <w:sz w:val="20"/>
      <w:szCs w:val="20"/>
    </w:rPr>
  </w:style>
  <w:style w:type="paragraph" w:styleId="CommentSubject">
    <w:name w:val="annotation subject"/>
    <w:basedOn w:val="CommentText"/>
    <w:next w:val="CommentText"/>
    <w:link w:val="CommentSubjectChar"/>
    <w:uiPriority w:val="99"/>
    <w:semiHidden/>
    <w:unhideWhenUsed/>
    <w:rsid w:val="00A62CC1"/>
    <w:rPr>
      <w:b/>
      <w:bCs/>
    </w:rPr>
  </w:style>
  <w:style w:type="character" w:customStyle="1" w:styleId="CommentSubjectChar">
    <w:name w:val="Comment Subject Char"/>
    <w:basedOn w:val="CommentTextChar"/>
    <w:link w:val="CommentSubject"/>
    <w:uiPriority w:val="99"/>
    <w:semiHidden/>
    <w:rsid w:val="00A62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4301">
      <w:bodyDiv w:val="1"/>
      <w:marLeft w:val="0"/>
      <w:marRight w:val="0"/>
      <w:marTop w:val="0"/>
      <w:marBottom w:val="0"/>
      <w:divBdr>
        <w:top w:val="none" w:sz="0" w:space="0" w:color="auto"/>
        <w:left w:val="none" w:sz="0" w:space="0" w:color="auto"/>
        <w:bottom w:val="none" w:sz="0" w:space="0" w:color="auto"/>
        <w:right w:val="none" w:sz="0" w:space="0" w:color="auto"/>
      </w:divBdr>
      <w:divsChild>
        <w:div w:id="996541898">
          <w:marLeft w:val="0"/>
          <w:marRight w:val="0"/>
          <w:marTop w:val="0"/>
          <w:marBottom w:val="0"/>
          <w:divBdr>
            <w:top w:val="none" w:sz="0" w:space="0" w:color="auto"/>
            <w:left w:val="none" w:sz="0" w:space="0" w:color="auto"/>
            <w:bottom w:val="none" w:sz="0" w:space="0" w:color="auto"/>
            <w:right w:val="none" w:sz="0" w:space="0" w:color="auto"/>
          </w:divBdr>
          <w:divsChild>
            <w:div w:id="267809865">
              <w:marLeft w:val="0"/>
              <w:marRight w:val="0"/>
              <w:marTop w:val="0"/>
              <w:marBottom w:val="0"/>
              <w:divBdr>
                <w:top w:val="none" w:sz="0" w:space="0" w:color="auto"/>
                <w:left w:val="none" w:sz="0" w:space="0" w:color="auto"/>
                <w:bottom w:val="none" w:sz="0" w:space="0" w:color="auto"/>
                <w:right w:val="none" w:sz="0" w:space="0" w:color="auto"/>
              </w:divBdr>
              <w:divsChild>
                <w:div w:id="507402950">
                  <w:marLeft w:val="0"/>
                  <w:marRight w:val="0"/>
                  <w:marTop w:val="0"/>
                  <w:marBottom w:val="0"/>
                  <w:divBdr>
                    <w:top w:val="none" w:sz="0" w:space="0" w:color="auto"/>
                    <w:left w:val="none" w:sz="0" w:space="0" w:color="auto"/>
                    <w:bottom w:val="none" w:sz="0" w:space="0" w:color="auto"/>
                    <w:right w:val="none" w:sz="0" w:space="0" w:color="auto"/>
                  </w:divBdr>
                  <w:divsChild>
                    <w:div w:id="849181385">
                      <w:marLeft w:val="0"/>
                      <w:marRight w:val="0"/>
                      <w:marTop w:val="0"/>
                      <w:marBottom w:val="0"/>
                      <w:divBdr>
                        <w:top w:val="none" w:sz="0" w:space="0" w:color="auto"/>
                        <w:left w:val="none" w:sz="0" w:space="0" w:color="auto"/>
                        <w:bottom w:val="none" w:sz="0" w:space="0" w:color="auto"/>
                        <w:right w:val="none" w:sz="0" w:space="0" w:color="auto"/>
                      </w:divBdr>
                      <w:divsChild>
                        <w:div w:id="7452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5318">
      <w:bodyDiv w:val="1"/>
      <w:marLeft w:val="0"/>
      <w:marRight w:val="0"/>
      <w:marTop w:val="0"/>
      <w:marBottom w:val="0"/>
      <w:divBdr>
        <w:top w:val="none" w:sz="0" w:space="0" w:color="auto"/>
        <w:left w:val="none" w:sz="0" w:space="0" w:color="auto"/>
        <w:bottom w:val="none" w:sz="0" w:space="0" w:color="auto"/>
        <w:right w:val="none" w:sz="0" w:space="0" w:color="auto"/>
      </w:divBdr>
      <w:divsChild>
        <w:div w:id="575095492">
          <w:marLeft w:val="0"/>
          <w:marRight w:val="0"/>
          <w:marTop w:val="0"/>
          <w:marBottom w:val="0"/>
          <w:divBdr>
            <w:top w:val="none" w:sz="0" w:space="0" w:color="auto"/>
            <w:left w:val="none" w:sz="0" w:space="0" w:color="auto"/>
            <w:bottom w:val="none" w:sz="0" w:space="0" w:color="auto"/>
            <w:right w:val="none" w:sz="0" w:space="0" w:color="auto"/>
          </w:divBdr>
          <w:divsChild>
            <w:div w:id="511800536">
              <w:marLeft w:val="0"/>
              <w:marRight w:val="0"/>
              <w:marTop w:val="0"/>
              <w:marBottom w:val="0"/>
              <w:divBdr>
                <w:top w:val="none" w:sz="0" w:space="0" w:color="auto"/>
                <w:left w:val="none" w:sz="0" w:space="0" w:color="auto"/>
                <w:bottom w:val="none" w:sz="0" w:space="0" w:color="auto"/>
                <w:right w:val="none" w:sz="0" w:space="0" w:color="auto"/>
              </w:divBdr>
              <w:divsChild>
                <w:div w:id="436295583">
                  <w:marLeft w:val="0"/>
                  <w:marRight w:val="0"/>
                  <w:marTop w:val="0"/>
                  <w:marBottom w:val="0"/>
                  <w:divBdr>
                    <w:top w:val="none" w:sz="0" w:space="0" w:color="auto"/>
                    <w:left w:val="none" w:sz="0" w:space="0" w:color="auto"/>
                    <w:bottom w:val="none" w:sz="0" w:space="0" w:color="auto"/>
                    <w:right w:val="none" w:sz="0" w:space="0" w:color="auto"/>
                  </w:divBdr>
                  <w:divsChild>
                    <w:div w:id="2087651983">
                      <w:marLeft w:val="0"/>
                      <w:marRight w:val="0"/>
                      <w:marTop w:val="0"/>
                      <w:marBottom w:val="0"/>
                      <w:divBdr>
                        <w:top w:val="none" w:sz="0" w:space="0" w:color="auto"/>
                        <w:left w:val="none" w:sz="0" w:space="0" w:color="auto"/>
                        <w:bottom w:val="none" w:sz="0" w:space="0" w:color="auto"/>
                        <w:right w:val="none" w:sz="0" w:space="0" w:color="auto"/>
                      </w:divBdr>
                      <w:divsChild>
                        <w:div w:id="7228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644648">
      <w:bodyDiv w:val="1"/>
      <w:marLeft w:val="0"/>
      <w:marRight w:val="0"/>
      <w:marTop w:val="0"/>
      <w:marBottom w:val="0"/>
      <w:divBdr>
        <w:top w:val="none" w:sz="0" w:space="0" w:color="auto"/>
        <w:left w:val="none" w:sz="0" w:space="0" w:color="auto"/>
        <w:bottom w:val="none" w:sz="0" w:space="0" w:color="auto"/>
        <w:right w:val="none" w:sz="0" w:space="0" w:color="auto"/>
      </w:divBdr>
      <w:divsChild>
        <w:div w:id="252279556">
          <w:marLeft w:val="0"/>
          <w:marRight w:val="0"/>
          <w:marTop w:val="0"/>
          <w:marBottom w:val="0"/>
          <w:divBdr>
            <w:top w:val="none" w:sz="0" w:space="0" w:color="auto"/>
            <w:left w:val="none" w:sz="0" w:space="0" w:color="auto"/>
            <w:bottom w:val="none" w:sz="0" w:space="0" w:color="auto"/>
            <w:right w:val="none" w:sz="0" w:space="0" w:color="auto"/>
          </w:divBdr>
          <w:divsChild>
            <w:div w:id="1419329744">
              <w:marLeft w:val="0"/>
              <w:marRight w:val="0"/>
              <w:marTop w:val="0"/>
              <w:marBottom w:val="0"/>
              <w:divBdr>
                <w:top w:val="none" w:sz="0" w:space="0" w:color="auto"/>
                <w:left w:val="none" w:sz="0" w:space="0" w:color="auto"/>
                <w:bottom w:val="none" w:sz="0" w:space="0" w:color="auto"/>
                <w:right w:val="none" w:sz="0" w:space="0" w:color="auto"/>
              </w:divBdr>
              <w:divsChild>
                <w:div w:id="1999918311">
                  <w:marLeft w:val="0"/>
                  <w:marRight w:val="0"/>
                  <w:marTop w:val="0"/>
                  <w:marBottom w:val="0"/>
                  <w:divBdr>
                    <w:top w:val="none" w:sz="0" w:space="0" w:color="auto"/>
                    <w:left w:val="none" w:sz="0" w:space="0" w:color="auto"/>
                    <w:bottom w:val="none" w:sz="0" w:space="0" w:color="auto"/>
                    <w:right w:val="none" w:sz="0" w:space="0" w:color="auto"/>
                  </w:divBdr>
                  <w:divsChild>
                    <w:div w:id="480971046">
                      <w:marLeft w:val="0"/>
                      <w:marRight w:val="0"/>
                      <w:marTop w:val="0"/>
                      <w:marBottom w:val="0"/>
                      <w:divBdr>
                        <w:top w:val="none" w:sz="0" w:space="0" w:color="auto"/>
                        <w:left w:val="none" w:sz="0" w:space="0" w:color="auto"/>
                        <w:bottom w:val="none" w:sz="0" w:space="0" w:color="auto"/>
                        <w:right w:val="none" w:sz="0" w:space="0" w:color="auto"/>
                      </w:divBdr>
                      <w:divsChild>
                        <w:div w:id="2334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6638-E017-480D-89AF-42FBAB97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82999C3B</Template>
  <TotalTime>0</TotalTime>
  <Pages>4</Pages>
  <Words>1255</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DJZ</dc:creator>
  <cp:lastModifiedBy>Philip Strik</cp:lastModifiedBy>
  <cp:revision>2</cp:revision>
  <dcterms:created xsi:type="dcterms:W3CDTF">2013-09-20T12:55:00Z</dcterms:created>
  <dcterms:modified xsi:type="dcterms:W3CDTF">2013-09-20T12:55:00Z</dcterms:modified>
</cp:coreProperties>
</file>